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44" w:rsidRDefault="00440144" w:rsidP="00F119F9">
      <w:pPr>
        <w:jc w:val="right"/>
        <w:rPr>
          <w:b/>
          <w:sz w:val="28"/>
          <w:szCs w:val="28"/>
        </w:rPr>
      </w:pPr>
      <w:bookmarkStart w:id="0" w:name="_GoBack"/>
      <w:bookmarkEnd w:id="0"/>
    </w:p>
    <w:p w:rsidR="00440144" w:rsidRDefault="00440144" w:rsidP="00750B3D">
      <w:pPr>
        <w:rPr>
          <w:b/>
          <w:sz w:val="28"/>
          <w:szCs w:val="28"/>
        </w:rPr>
      </w:pPr>
    </w:p>
    <w:p w:rsidR="00440144" w:rsidRDefault="00440144" w:rsidP="00750B3D">
      <w:pPr>
        <w:rPr>
          <w:b/>
          <w:sz w:val="28"/>
          <w:szCs w:val="28"/>
        </w:rPr>
      </w:pPr>
    </w:p>
    <w:p w:rsidR="00440144" w:rsidRDefault="00440144" w:rsidP="00750B3D">
      <w:pPr>
        <w:rPr>
          <w:b/>
          <w:sz w:val="28"/>
          <w:szCs w:val="28"/>
        </w:rPr>
      </w:pPr>
    </w:p>
    <w:p w:rsidR="0058273C" w:rsidRDefault="0058273C" w:rsidP="004D278D">
      <w:pPr>
        <w:rPr>
          <w:rFonts w:cs="Arial"/>
          <w:color w:val="EF6820"/>
          <w:sz w:val="56"/>
          <w:szCs w:val="56"/>
        </w:rPr>
      </w:pPr>
    </w:p>
    <w:p w:rsidR="0058273C" w:rsidRDefault="0058273C" w:rsidP="004D278D">
      <w:pPr>
        <w:rPr>
          <w:rFonts w:cs="Arial"/>
          <w:color w:val="EF6820"/>
          <w:sz w:val="56"/>
          <w:szCs w:val="56"/>
        </w:rPr>
      </w:pPr>
    </w:p>
    <w:p w:rsidR="0058273C" w:rsidRDefault="0058273C" w:rsidP="004D278D">
      <w:pPr>
        <w:rPr>
          <w:rFonts w:cs="Arial"/>
          <w:color w:val="EF6820"/>
          <w:sz w:val="56"/>
          <w:szCs w:val="56"/>
        </w:rPr>
      </w:pPr>
    </w:p>
    <w:p w:rsidR="00440144" w:rsidRPr="0053666B" w:rsidRDefault="00440144" w:rsidP="004D278D">
      <w:pPr>
        <w:rPr>
          <w:rFonts w:cs="Arial"/>
          <w:color w:val="EF6820"/>
          <w:sz w:val="56"/>
          <w:szCs w:val="56"/>
        </w:rPr>
      </w:pPr>
      <w:r w:rsidRPr="0053666B">
        <w:rPr>
          <w:rFonts w:cs="Arial"/>
          <w:color w:val="EF6820"/>
          <w:sz w:val="56"/>
          <w:szCs w:val="56"/>
        </w:rPr>
        <w:t xml:space="preserve">Equality and Diversity Annual </w:t>
      </w:r>
    </w:p>
    <w:p w:rsidR="00440144" w:rsidRPr="0053666B" w:rsidRDefault="000B7431" w:rsidP="004D278D">
      <w:pPr>
        <w:rPr>
          <w:rFonts w:cs="Arial"/>
          <w:color w:val="EF6820"/>
          <w:sz w:val="56"/>
          <w:szCs w:val="56"/>
        </w:rPr>
      </w:pPr>
      <w:r>
        <w:rPr>
          <w:rFonts w:cs="Arial"/>
          <w:color w:val="EF6820"/>
          <w:sz w:val="56"/>
          <w:szCs w:val="56"/>
        </w:rPr>
        <w:t>Report 2016</w:t>
      </w:r>
    </w:p>
    <w:p w:rsidR="006A0A23" w:rsidRDefault="006A0A23" w:rsidP="004D278D">
      <w:pPr>
        <w:rPr>
          <w:rFonts w:cs="Arial"/>
          <w:sz w:val="56"/>
          <w:szCs w:val="56"/>
        </w:rPr>
      </w:pPr>
    </w:p>
    <w:p w:rsidR="006A0A23" w:rsidRDefault="006A0A23" w:rsidP="004D278D">
      <w:pPr>
        <w:rPr>
          <w:rFonts w:cs="Arial"/>
          <w:sz w:val="56"/>
          <w:szCs w:val="56"/>
        </w:rPr>
      </w:pPr>
    </w:p>
    <w:p w:rsidR="006A0A23" w:rsidRDefault="006A0A23" w:rsidP="004D278D">
      <w:pPr>
        <w:rPr>
          <w:rFonts w:cs="Arial"/>
          <w:sz w:val="56"/>
          <w:szCs w:val="56"/>
        </w:rPr>
      </w:pPr>
    </w:p>
    <w:p w:rsidR="00440144" w:rsidRPr="0053666B" w:rsidRDefault="00440144" w:rsidP="004D278D">
      <w:pPr>
        <w:rPr>
          <w:rFonts w:cs="Arial"/>
          <w:color w:val="8C8C8C"/>
          <w:sz w:val="56"/>
          <w:szCs w:val="56"/>
        </w:rPr>
      </w:pPr>
      <w:r w:rsidRPr="0053666B">
        <w:rPr>
          <w:rFonts w:cs="Arial"/>
          <w:color w:val="8C8C8C"/>
          <w:sz w:val="56"/>
          <w:szCs w:val="56"/>
        </w:rPr>
        <w:t>Monitoring data</w:t>
      </w:r>
    </w:p>
    <w:p w:rsidR="006A0A23" w:rsidRPr="0053666B" w:rsidRDefault="006A0A23" w:rsidP="004D278D">
      <w:pPr>
        <w:rPr>
          <w:color w:val="8C8C8C"/>
          <w:sz w:val="56"/>
          <w:szCs w:val="56"/>
        </w:rPr>
      </w:pPr>
    </w:p>
    <w:p w:rsidR="00440144" w:rsidRPr="0053666B" w:rsidRDefault="00440144" w:rsidP="004D278D">
      <w:pPr>
        <w:rPr>
          <w:color w:val="8C8C8C"/>
          <w:sz w:val="44"/>
          <w:szCs w:val="44"/>
        </w:rPr>
      </w:pPr>
      <w:r w:rsidRPr="0053666B">
        <w:rPr>
          <w:color w:val="8C8C8C"/>
          <w:sz w:val="44"/>
          <w:szCs w:val="44"/>
        </w:rPr>
        <w:t>Residential Schools Staff</w:t>
      </w:r>
    </w:p>
    <w:p w:rsidR="00440144" w:rsidRDefault="00440144" w:rsidP="00750B3D">
      <w:pPr>
        <w:rPr>
          <w:b/>
          <w:sz w:val="28"/>
          <w:szCs w:val="28"/>
        </w:rPr>
      </w:pPr>
    </w:p>
    <w:p w:rsidR="00440144" w:rsidRDefault="00440144" w:rsidP="00750B3D">
      <w:pPr>
        <w:rPr>
          <w:b/>
          <w:sz w:val="28"/>
          <w:szCs w:val="28"/>
        </w:rPr>
      </w:pPr>
    </w:p>
    <w:p w:rsidR="00440144" w:rsidRDefault="00440144" w:rsidP="00750B3D">
      <w:pPr>
        <w:rPr>
          <w:b/>
          <w:sz w:val="28"/>
          <w:szCs w:val="28"/>
        </w:rPr>
      </w:pPr>
    </w:p>
    <w:p w:rsidR="00440144" w:rsidRDefault="00440144" w:rsidP="00750B3D">
      <w:pPr>
        <w:rPr>
          <w:b/>
          <w:sz w:val="28"/>
          <w:szCs w:val="28"/>
        </w:rPr>
      </w:pPr>
    </w:p>
    <w:p w:rsidR="00440144" w:rsidRDefault="00440144" w:rsidP="00750B3D">
      <w:pPr>
        <w:rPr>
          <w:b/>
          <w:sz w:val="28"/>
          <w:szCs w:val="28"/>
        </w:rPr>
      </w:pPr>
    </w:p>
    <w:p w:rsidR="00440144" w:rsidRDefault="00440144" w:rsidP="00750B3D">
      <w:pPr>
        <w:rPr>
          <w:b/>
          <w:sz w:val="28"/>
          <w:szCs w:val="28"/>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8273C" w:rsidRDefault="0058273C"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5D0473" w:rsidRDefault="005D0473" w:rsidP="0058273C">
      <w:pPr>
        <w:rPr>
          <w:rFonts w:eastAsia="Times New Roman" w:cs="Arial"/>
          <w:sz w:val="21"/>
          <w:szCs w:val="24"/>
        </w:rPr>
      </w:pPr>
    </w:p>
    <w:p w:rsidR="002942BE" w:rsidRDefault="002942BE" w:rsidP="002942BE">
      <w:pPr>
        <w:keepNext/>
        <w:tabs>
          <w:tab w:val="left" w:pos="2920"/>
        </w:tabs>
        <w:autoSpaceDE w:val="0"/>
        <w:autoSpaceDN w:val="0"/>
        <w:adjustRightInd w:val="0"/>
        <w:jc w:val="right"/>
        <w:outlineLvl w:val="0"/>
        <w:rPr>
          <w:rFonts w:eastAsia="Times New Roman"/>
          <w:bCs/>
          <w:kern w:val="32"/>
          <w:sz w:val="24"/>
        </w:rPr>
      </w:pPr>
    </w:p>
    <w:p w:rsidR="002942BE" w:rsidRDefault="002942BE" w:rsidP="002942BE">
      <w:pPr>
        <w:rPr>
          <w:sz w:val="21"/>
        </w:rPr>
      </w:pPr>
      <w:r>
        <w:rPr>
          <w:sz w:val="21"/>
        </w:rPr>
        <w:t xml:space="preserve">Published: </w:t>
      </w:r>
      <w:r>
        <w:rPr>
          <w:b/>
          <w:color w:val="000000"/>
          <w:sz w:val="21"/>
        </w:rPr>
        <w:t>June 2016</w:t>
      </w:r>
    </w:p>
    <w:p w:rsidR="002942BE" w:rsidRDefault="002942BE" w:rsidP="002942BE">
      <w:pPr>
        <w:rPr>
          <w:sz w:val="21"/>
        </w:rPr>
      </w:pPr>
    </w:p>
    <w:p w:rsidR="002942BE" w:rsidRDefault="002942BE" w:rsidP="002942BE">
      <w:pPr>
        <w:rPr>
          <w:sz w:val="21"/>
        </w:rPr>
      </w:pPr>
      <w:r>
        <w:rPr>
          <w:sz w:val="21"/>
        </w:rPr>
        <w:t>Comments or queries about this report are welcomed and should be sent for the attention of the Head of Equality, Diversity and Information Rights.</w:t>
      </w:r>
    </w:p>
    <w:p w:rsidR="002942BE" w:rsidRDefault="002942BE" w:rsidP="002942BE">
      <w:pPr>
        <w:rPr>
          <w:sz w:val="21"/>
        </w:rPr>
      </w:pPr>
    </w:p>
    <w:p w:rsidR="002942BE" w:rsidRDefault="002942BE" w:rsidP="002942BE">
      <w:pPr>
        <w:rPr>
          <w:sz w:val="21"/>
        </w:rPr>
      </w:pPr>
      <w:r>
        <w:rPr>
          <w:sz w:val="21"/>
        </w:rPr>
        <w:t>The Equality, Diversity and Information Rights Office</w:t>
      </w:r>
    </w:p>
    <w:p w:rsidR="002942BE" w:rsidRDefault="002942BE" w:rsidP="002942BE">
      <w:pPr>
        <w:rPr>
          <w:sz w:val="21"/>
        </w:rPr>
      </w:pPr>
      <w:r>
        <w:rPr>
          <w:sz w:val="21"/>
        </w:rPr>
        <w:t>Academic Policy and Governance</w:t>
      </w:r>
    </w:p>
    <w:p w:rsidR="002942BE" w:rsidRDefault="002942BE" w:rsidP="002942BE">
      <w:pPr>
        <w:rPr>
          <w:sz w:val="21"/>
        </w:rPr>
      </w:pPr>
      <w:r>
        <w:rPr>
          <w:sz w:val="21"/>
        </w:rPr>
        <w:t>The Open University</w:t>
      </w:r>
    </w:p>
    <w:p w:rsidR="002942BE" w:rsidRDefault="002942BE" w:rsidP="002942BE">
      <w:pPr>
        <w:rPr>
          <w:sz w:val="21"/>
        </w:rPr>
      </w:pPr>
      <w:r>
        <w:rPr>
          <w:sz w:val="21"/>
        </w:rPr>
        <w:t>Walton Hall</w:t>
      </w:r>
    </w:p>
    <w:p w:rsidR="002942BE" w:rsidRDefault="002942BE" w:rsidP="002942BE">
      <w:pPr>
        <w:rPr>
          <w:sz w:val="21"/>
        </w:rPr>
      </w:pPr>
      <w:r>
        <w:rPr>
          <w:sz w:val="21"/>
        </w:rPr>
        <w:t>Milton Keynes</w:t>
      </w:r>
    </w:p>
    <w:p w:rsidR="002942BE" w:rsidRDefault="002942BE" w:rsidP="002942BE">
      <w:pPr>
        <w:rPr>
          <w:sz w:val="21"/>
          <w:lang w:val="pt-PT"/>
        </w:rPr>
      </w:pPr>
      <w:r>
        <w:rPr>
          <w:sz w:val="21"/>
          <w:lang w:val="pt-PT"/>
        </w:rPr>
        <w:t>MK7 6AA</w:t>
      </w:r>
    </w:p>
    <w:p w:rsidR="002942BE" w:rsidRDefault="002942BE" w:rsidP="002942BE">
      <w:pPr>
        <w:rPr>
          <w:sz w:val="21"/>
          <w:lang w:val="pt-PT"/>
        </w:rPr>
      </w:pPr>
    </w:p>
    <w:p w:rsidR="002942BE" w:rsidRDefault="002942BE" w:rsidP="002942BE">
      <w:pPr>
        <w:rPr>
          <w:sz w:val="21"/>
          <w:highlight w:val="yellow"/>
          <w:lang w:val="pt-PT"/>
        </w:rPr>
      </w:pPr>
      <w:r>
        <w:rPr>
          <w:sz w:val="21"/>
          <w:lang w:val="pt-PT"/>
        </w:rPr>
        <w:t>Tel</w:t>
      </w:r>
      <w:r>
        <w:rPr>
          <w:sz w:val="21"/>
          <w:lang w:val="pt-PT"/>
        </w:rPr>
        <w:tab/>
      </w:r>
      <w:r>
        <w:rPr>
          <w:sz w:val="21"/>
          <w:lang w:val="pt-PT"/>
        </w:rPr>
        <w:tab/>
        <w:t>01908 652867 / 858883</w:t>
      </w:r>
    </w:p>
    <w:p w:rsidR="002942BE" w:rsidRDefault="002942BE" w:rsidP="002942BE">
      <w:pPr>
        <w:rPr>
          <w:sz w:val="21"/>
          <w:szCs w:val="20"/>
          <w:lang w:val="pt-BR"/>
        </w:rPr>
      </w:pPr>
      <w:r>
        <w:rPr>
          <w:sz w:val="21"/>
          <w:szCs w:val="20"/>
          <w:lang w:val="pt-PT"/>
        </w:rPr>
        <w:t>Email</w:t>
      </w:r>
      <w:r>
        <w:rPr>
          <w:sz w:val="21"/>
          <w:szCs w:val="20"/>
          <w:lang w:val="pt-PT"/>
        </w:rPr>
        <w:tab/>
      </w:r>
      <w:r>
        <w:rPr>
          <w:sz w:val="21"/>
          <w:szCs w:val="20"/>
          <w:lang w:val="pt-PT"/>
        </w:rPr>
        <w:tab/>
      </w:r>
      <w:hyperlink r:id="rId7" w:history="1">
        <w:r>
          <w:rPr>
            <w:rStyle w:val="Hyperlink"/>
            <w:sz w:val="21"/>
            <w:szCs w:val="20"/>
            <w:lang w:val="pt-PT"/>
          </w:rPr>
          <w:t>strategy-equality@open.ac.uk</w:t>
        </w:r>
      </w:hyperlink>
    </w:p>
    <w:p w:rsidR="002942BE" w:rsidRDefault="002942BE" w:rsidP="002942BE">
      <w:pPr>
        <w:rPr>
          <w:sz w:val="21"/>
          <w:szCs w:val="20"/>
          <w:lang w:val="pt-BR"/>
        </w:rPr>
      </w:pPr>
      <w:r>
        <w:rPr>
          <w:sz w:val="21"/>
          <w:szCs w:val="20"/>
          <w:lang w:val="pt-BR"/>
        </w:rPr>
        <w:t>Web</w:t>
      </w:r>
      <w:r>
        <w:rPr>
          <w:sz w:val="21"/>
          <w:szCs w:val="20"/>
          <w:lang w:val="pt-BR"/>
        </w:rPr>
        <w:tab/>
      </w:r>
      <w:r>
        <w:rPr>
          <w:sz w:val="21"/>
          <w:szCs w:val="20"/>
          <w:lang w:val="pt-BR"/>
        </w:rPr>
        <w:tab/>
        <w:t>www.open.ac.uk/equality-diversity</w:t>
      </w:r>
    </w:p>
    <w:p w:rsidR="003D523E" w:rsidRDefault="003D523E" w:rsidP="0053666B">
      <w:pPr>
        <w:jc w:val="right"/>
        <w:rPr>
          <w:sz w:val="36"/>
          <w:szCs w:val="36"/>
        </w:rPr>
      </w:pPr>
    </w:p>
    <w:p w:rsidR="00D23386" w:rsidRPr="0053666B" w:rsidRDefault="003D523E" w:rsidP="003D523E">
      <w:pPr>
        <w:tabs>
          <w:tab w:val="left" w:pos="2355"/>
          <w:tab w:val="right" w:pos="9026"/>
        </w:tabs>
        <w:rPr>
          <w:sz w:val="36"/>
          <w:szCs w:val="36"/>
        </w:rPr>
      </w:pPr>
      <w:r>
        <w:rPr>
          <w:sz w:val="36"/>
          <w:szCs w:val="36"/>
        </w:rPr>
        <w:lastRenderedPageBreak/>
        <w:tab/>
      </w:r>
      <w:r>
        <w:rPr>
          <w:sz w:val="36"/>
          <w:szCs w:val="36"/>
        </w:rPr>
        <w:tab/>
      </w:r>
      <w:r w:rsidR="00D23386" w:rsidRPr="0053666B">
        <w:rPr>
          <w:sz w:val="36"/>
          <w:szCs w:val="36"/>
        </w:rPr>
        <w:t>Contents</w:t>
      </w:r>
    </w:p>
    <w:p w:rsidR="00D23386" w:rsidRDefault="00D23386" w:rsidP="004D278D"/>
    <w:p w:rsidR="005C18B0" w:rsidRDefault="005C18B0" w:rsidP="004D278D"/>
    <w:p w:rsidR="00D36579" w:rsidRDefault="00D36579">
      <w:pPr>
        <w:pStyle w:val="TOC1"/>
        <w:tabs>
          <w:tab w:val="right" w:leader="dot" w:pos="9016"/>
        </w:tabs>
        <w:rPr>
          <w:rFonts w:asciiTheme="minorHAnsi" w:hAnsiTheme="minorHAnsi"/>
          <w:noProof/>
          <w:sz w:val="22"/>
        </w:rPr>
      </w:pPr>
      <w:r>
        <w:fldChar w:fldCharType="begin"/>
      </w:r>
      <w:r>
        <w:instrText xml:space="preserve"> TOC \o "1-2" \h \z \u </w:instrText>
      </w:r>
      <w:r>
        <w:fldChar w:fldCharType="separate"/>
      </w:r>
      <w:hyperlink w:anchor="_Toc390870848" w:history="1">
        <w:r w:rsidRPr="00A63A39">
          <w:rPr>
            <w:rStyle w:val="Hyperlink"/>
            <w:noProof/>
          </w:rPr>
          <w:t>General</w:t>
        </w:r>
        <w:r>
          <w:rPr>
            <w:noProof/>
            <w:webHidden/>
          </w:rPr>
          <w:tab/>
        </w:r>
        <w:r>
          <w:rPr>
            <w:noProof/>
            <w:webHidden/>
          </w:rPr>
          <w:fldChar w:fldCharType="begin"/>
        </w:r>
        <w:r>
          <w:rPr>
            <w:noProof/>
            <w:webHidden/>
          </w:rPr>
          <w:instrText xml:space="preserve"> PAGEREF _Toc390870848 \h </w:instrText>
        </w:r>
        <w:r>
          <w:rPr>
            <w:noProof/>
            <w:webHidden/>
          </w:rPr>
        </w:r>
        <w:r>
          <w:rPr>
            <w:noProof/>
            <w:webHidden/>
          </w:rPr>
          <w:fldChar w:fldCharType="separate"/>
        </w:r>
        <w:r w:rsidR="003D523E">
          <w:rPr>
            <w:noProof/>
            <w:webHidden/>
          </w:rPr>
          <w:t>4</w:t>
        </w:r>
        <w:r>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49" w:history="1">
        <w:r w:rsidR="00D36579" w:rsidRPr="00A63A39">
          <w:rPr>
            <w:rStyle w:val="Hyperlink"/>
            <w:noProof/>
          </w:rPr>
          <w:t>About Residential School Staff</w:t>
        </w:r>
        <w:r w:rsidR="00D36579">
          <w:rPr>
            <w:noProof/>
            <w:webHidden/>
          </w:rPr>
          <w:tab/>
        </w:r>
        <w:r w:rsidR="00D36579">
          <w:rPr>
            <w:noProof/>
            <w:webHidden/>
          </w:rPr>
          <w:fldChar w:fldCharType="begin"/>
        </w:r>
        <w:r w:rsidR="00D36579">
          <w:rPr>
            <w:noProof/>
            <w:webHidden/>
          </w:rPr>
          <w:instrText xml:space="preserve"> PAGEREF _Toc390870849 \h </w:instrText>
        </w:r>
        <w:r w:rsidR="00D36579">
          <w:rPr>
            <w:noProof/>
            <w:webHidden/>
          </w:rPr>
        </w:r>
        <w:r w:rsidR="00D36579">
          <w:rPr>
            <w:noProof/>
            <w:webHidden/>
          </w:rPr>
          <w:fldChar w:fldCharType="separate"/>
        </w:r>
        <w:r w:rsidR="003D523E">
          <w:rPr>
            <w:noProof/>
            <w:webHidden/>
          </w:rPr>
          <w:t>4</w:t>
        </w:r>
        <w:r w:rsidR="00D36579">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50" w:history="1">
        <w:r w:rsidR="00D36579" w:rsidRPr="00A63A39">
          <w:rPr>
            <w:rStyle w:val="Hyperlink"/>
            <w:noProof/>
          </w:rPr>
          <w:t>Notes on the data</w:t>
        </w:r>
        <w:r w:rsidR="00D36579">
          <w:rPr>
            <w:noProof/>
            <w:webHidden/>
          </w:rPr>
          <w:tab/>
        </w:r>
        <w:r w:rsidR="00D36579">
          <w:rPr>
            <w:noProof/>
            <w:webHidden/>
          </w:rPr>
          <w:fldChar w:fldCharType="begin"/>
        </w:r>
        <w:r w:rsidR="00D36579">
          <w:rPr>
            <w:noProof/>
            <w:webHidden/>
          </w:rPr>
          <w:instrText xml:space="preserve"> PAGEREF _Toc390870850 \h </w:instrText>
        </w:r>
        <w:r w:rsidR="00D36579">
          <w:rPr>
            <w:noProof/>
            <w:webHidden/>
          </w:rPr>
        </w:r>
        <w:r w:rsidR="00D36579">
          <w:rPr>
            <w:noProof/>
            <w:webHidden/>
          </w:rPr>
          <w:fldChar w:fldCharType="separate"/>
        </w:r>
        <w:r w:rsidR="003D523E">
          <w:rPr>
            <w:noProof/>
            <w:webHidden/>
          </w:rPr>
          <w:t>4</w:t>
        </w:r>
        <w:r w:rsidR="00D36579">
          <w:rPr>
            <w:noProof/>
            <w:webHidden/>
          </w:rPr>
          <w:fldChar w:fldCharType="end"/>
        </w:r>
      </w:hyperlink>
    </w:p>
    <w:p w:rsidR="00D36579" w:rsidRDefault="005D6A01">
      <w:pPr>
        <w:pStyle w:val="TOC1"/>
        <w:tabs>
          <w:tab w:val="right" w:leader="dot" w:pos="9016"/>
        </w:tabs>
        <w:rPr>
          <w:rFonts w:asciiTheme="minorHAnsi" w:hAnsiTheme="minorHAnsi"/>
          <w:noProof/>
          <w:sz w:val="22"/>
        </w:rPr>
      </w:pPr>
      <w:hyperlink w:anchor="_Toc390870851" w:history="1">
        <w:r w:rsidR="00D36579" w:rsidRPr="00A63A39">
          <w:rPr>
            <w:rStyle w:val="Hyperlink"/>
            <w:noProof/>
          </w:rPr>
          <w:t>Age</w:t>
        </w:r>
        <w:r w:rsidR="00D36579">
          <w:rPr>
            <w:noProof/>
            <w:webHidden/>
          </w:rPr>
          <w:tab/>
        </w:r>
        <w:r w:rsidR="00D36579">
          <w:rPr>
            <w:noProof/>
            <w:webHidden/>
          </w:rPr>
          <w:fldChar w:fldCharType="begin"/>
        </w:r>
        <w:r w:rsidR="00D36579">
          <w:rPr>
            <w:noProof/>
            <w:webHidden/>
          </w:rPr>
          <w:instrText xml:space="preserve"> PAGEREF _Toc390870851 \h </w:instrText>
        </w:r>
        <w:r w:rsidR="00D36579">
          <w:rPr>
            <w:noProof/>
            <w:webHidden/>
          </w:rPr>
        </w:r>
        <w:r w:rsidR="00D36579">
          <w:rPr>
            <w:noProof/>
            <w:webHidden/>
          </w:rPr>
          <w:fldChar w:fldCharType="separate"/>
        </w:r>
        <w:r w:rsidR="003D523E">
          <w:rPr>
            <w:noProof/>
            <w:webHidden/>
          </w:rPr>
          <w:t>5</w:t>
        </w:r>
        <w:r w:rsidR="00D36579">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52" w:history="1">
        <w:r w:rsidR="00D36579" w:rsidRPr="00A63A39">
          <w:rPr>
            <w:rStyle w:val="Hyperlink"/>
            <w:noProof/>
          </w:rPr>
          <w:t>Recruitment</w:t>
        </w:r>
        <w:r w:rsidR="00B55635">
          <w:rPr>
            <w:rStyle w:val="Hyperlink"/>
            <w:noProof/>
          </w:rPr>
          <w:t xml:space="preserve"> and Applicant</w:t>
        </w:r>
        <w:r w:rsidR="00D36579">
          <w:rPr>
            <w:noProof/>
            <w:webHidden/>
          </w:rPr>
          <w:tab/>
        </w:r>
        <w:r w:rsidR="00D36579">
          <w:rPr>
            <w:noProof/>
            <w:webHidden/>
          </w:rPr>
          <w:fldChar w:fldCharType="begin"/>
        </w:r>
        <w:r w:rsidR="00D36579">
          <w:rPr>
            <w:noProof/>
            <w:webHidden/>
          </w:rPr>
          <w:instrText xml:space="preserve"> PAGEREF _Toc390870852 \h </w:instrText>
        </w:r>
        <w:r w:rsidR="00D36579">
          <w:rPr>
            <w:noProof/>
            <w:webHidden/>
          </w:rPr>
        </w:r>
        <w:r w:rsidR="00D36579">
          <w:rPr>
            <w:noProof/>
            <w:webHidden/>
          </w:rPr>
          <w:fldChar w:fldCharType="separate"/>
        </w:r>
        <w:r w:rsidR="003D523E">
          <w:rPr>
            <w:noProof/>
            <w:webHidden/>
          </w:rPr>
          <w:t>5</w:t>
        </w:r>
        <w:r w:rsidR="00D36579">
          <w:rPr>
            <w:noProof/>
            <w:webHidden/>
          </w:rPr>
          <w:fldChar w:fldCharType="end"/>
        </w:r>
      </w:hyperlink>
    </w:p>
    <w:p w:rsidR="00D36579" w:rsidRDefault="005D6A01">
      <w:pPr>
        <w:pStyle w:val="TOC1"/>
        <w:tabs>
          <w:tab w:val="right" w:leader="dot" w:pos="9016"/>
        </w:tabs>
        <w:rPr>
          <w:rFonts w:asciiTheme="minorHAnsi" w:hAnsiTheme="minorHAnsi"/>
          <w:noProof/>
          <w:sz w:val="22"/>
        </w:rPr>
      </w:pPr>
      <w:hyperlink w:anchor="_Toc390870853" w:history="1">
        <w:r w:rsidR="00D36579" w:rsidRPr="00A63A39">
          <w:rPr>
            <w:rStyle w:val="Hyperlink"/>
            <w:noProof/>
          </w:rPr>
          <w:t>Disability</w:t>
        </w:r>
        <w:r w:rsidR="00D36579">
          <w:rPr>
            <w:noProof/>
            <w:webHidden/>
          </w:rPr>
          <w:tab/>
        </w:r>
        <w:r w:rsidR="00D36579">
          <w:rPr>
            <w:noProof/>
            <w:webHidden/>
          </w:rPr>
          <w:fldChar w:fldCharType="begin"/>
        </w:r>
        <w:r w:rsidR="00D36579">
          <w:rPr>
            <w:noProof/>
            <w:webHidden/>
          </w:rPr>
          <w:instrText xml:space="preserve"> PAGEREF _Toc390870853 \h </w:instrText>
        </w:r>
        <w:r w:rsidR="00D36579">
          <w:rPr>
            <w:noProof/>
            <w:webHidden/>
          </w:rPr>
        </w:r>
        <w:r w:rsidR="00D36579">
          <w:rPr>
            <w:noProof/>
            <w:webHidden/>
          </w:rPr>
          <w:fldChar w:fldCharType="separate"/>
        </w:r>
        <w:r w:rsidR="003D523E">
          <w:rPr>
            <w:noProof/>
            <w:webHidden/>
          </w:rPr>
          <w:t>6</w:t>
        </w:r>
        <w:r w:rsidR="00D36579">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54" w:history="1">
        <w:r w:rsidR="00B55635" w:rsidRPr="00B55635">
          <w:rPr>
            <w:rStyle w:val="Hyperlink"/>
            <w:noProof/>
          </w:rPr>
          <w:t>Recruitment and Applicant</w:t>
        </w:r>
        <w:r w:rsidR="00D36579">
          <w:rPr>
            <w:noProof/>
            <w:webHidden/>
          </w:rPr>
          <w:tab/>
        </w:r>
        <w:r w:rsidR="00D36579">
          <w:rPr>
            <w:noProof/>
            <w:webHidden/>
          </w:rPr>
          <w:fldChar w:fldCharType="begin"/>
        </w:r>
        <w:r w:rsidR="00D36579">
          <w:rPr>
            <w:noProof/>
            <w:webHidden/>
          </w:rPr>
          <w:instrText xml:space="preserve"> PAGEREF _Toc390870854 \h </w:instrText>
        </w:r>
        <w:r w:rsidR="00D36579">
          <w:rPr>
            <w:noProof/>
            <w:webHidden/>
          </w:rPr>
        </w:r>
        <w:r w:rsidR="00D36579">
          <w:rPr>
            <w:noProof/>
            <w:webHidden/>
          </w:rPr>
          <w:fldChar w:fldCharType="separate"/>
        </w:r>
        <w:r w:rsidR="003D523E">
          <w:rPr>
            <w:noProof/>
            <w:webHidden/>
          </w:rPr>
          <w:t>6</w:t>
        </w:r>
        <w:r w:rsidR="00D36579">
          <w:rPr>
            <w:noProof/>
            <w:webHidden/>
          </w:rPr>
          <w:fldChar w:fldCharType="end"/>
        </w:r>
      </w:hyperlink>
    </w:p>
    <w:p w:rsidR="00D36579" w:rsidRDefault="005D6A01">
      <w:pPr>
        <w:pStyle w:val="TOC1"/>
        <w:tabs>
          <w:tab w:val="right" w:leader="dot" w:pos="9016"/>
        </w:tabs>
        <w:rPr>
          <w:rFonts w:asciiTheme="minorHAnsi" w:hAnsiTheme="minorHAnsi"/>
          <w:noProof/>
          <w:sz w:val="22"/>
        </w:rPr>
      </w:pPr>
      <w:hyperlink w:anchor="_Toc390870855" w:history="1">
        <w:r w:rsidR="00D36579" w:rsidRPr="00A63A39">
          <w:rPr>
            <w:rStyle w:val="Hyperlink"/>
            <w:noProof/>
          </w:rPr>
          <w:t>Ethnicity</w:t>
        </w:r>
        <w:r w:rsidR="00D36579">
          <w:rPr>
            <w:noProof/>
            <w:webHidden/>
          </w:rPr>
          <w:tab/>
        </w:r>
        <w:r w:rsidR="00D36579">
          <w:rPr>
            <w:noProof/>
            <w:webHidden/>
          </w:rPr>
          <w:fldChar w:fldCharType="begin"/>
        </w:r>
        <w:r w:rsidR="00D36579">
          <w:rPr>
            <w:noProof/>
            <w:webHidden/>
          </w:rPr>
          <w:instrText xml:space="preserve"> PAGEREF _Toc390870855 \h </w:instrText>
        </w:r>
        <w:r w:rsidR="00D36579">
          <w:rPr>
            <w:noProof/>
            <w:webHidden/>
          </w:rPr>
        </w:r>
        <w:r w:rsidR="00D36579">
          <w:rPr>
            <w:noProof/>
            <w:webHidden/>
          </w:rPr>
          <w:fldChar w:fldCharType="separate"/>
        </w:r>
        <w:r w:rsidR="003D523E">
          <w:rPr>
            <w:noProof/>
            <w:webHidden/>
          </w:rPr>
          <w:t>7</w:t>
        </w:r>
        <w:r w:rsidR="00D36579">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56" w:history="1">
        <w:r w:rsidR="00B55635" w:rsidRPr="00B55635">
          <w:rPr>
            <w:rStyle w:val="Hyperlink"/>
            <w:noProof/>
          </w:rPr>
          <w:t>Recruitment and Applicant</w:t>
        </w:r>
        <w:r w:rsidR="00D36579">
          <w:rPr>
            <w:noProof/>
            <w:webHidden/>
          </w:rPr>
          <w:tab/>
        </w:r>
        <w:r w:rsidR="00D36579">
          <w:rPr>
            <w:noProof/>
            <w:webHidden/>
          </w:rPr>
          <w:fldChar w:fldCharType="begin"/>
        </w:r>
        <w:r w:rsidR="00D36579">
          <w:rPr>
            <w:noProof/>
            <w:webHidden/>
          </w:rPr>
          <w:instrText xml:space="preserve"> PAGEREF _Toc390870856 \h </w:instrText>
        </w:r>
        <w:r w:rsidR="00D36579">
          <w:rPr>
            <w:noProof/>
            <w:webHidden/>
          </w:rPr>
        </w:r>
        <w:r w:rsidR="00D36579">
          <w:rPr>
            <w:noProof/>
            <w:webHidden/>
          </w:rPr>
          <w:fldChar w:fldCharType="separate"/>
        </w:r>
        <w:r w:rsidR="003D523E">
          <w:rPr>
            <w:noProof/>
            <w:webHidden/>
          </w:rPr>
          <w:t>7</w:t>
        </w:r>
        <w:r w:rsidR="00D36579">
          <w:rPr>
            <w:noProof/>
            <w:webHidden/>
          </w:rPr>
          <w:fldChar w:fldCharType="end"/>
        </w:r>
      </w:hyperlink>
    </w:p>
    <w:p w:rsidR="00D36579" w:rsidRDefault="005D6A01">
      <w:pPr>
        <w:pStyle w:val="TOC1"/>
        <w:tabs>
          <w:tab w:val="right" w:leader="dot" w:pos="9016"/>
        </w:tabs>
        <w:rPr>
          <w:rFonts w:asciiTheme="minorHAnsi" w:hAnsiTheme="minorHAnsi"/>
          <w:noProof/>
          <w:sz w:val="22"/>
        </w:rPr>
      </w:pPr>
      <w:hyperlink w:anchor="_Toc390870857" w:history="1">
        <w:r w:rsidR="00D36579" w:rsidRPr="00A63A39">
          <w:rPr>
            <w:rStyle w:val="Hyperlink"/>
            <w:noProof/>
          </w:rPr>
          <w:t>Gender</w:t>
        </w:r>
        <w:r w:rsidR="00D36579">
          <w:rPr>
            <w:noProof/>
            <w:webHidden/>
          </w:rPr>
          <w:tab/>
        </w:r>
        <w:r w:rsidR="006B3A31">
          <w:rPr>
            <w:noProof/>
            <w:webHidden/>
          </w:rPr>
          <w:t>8</w:t>
        </w:r>
      </w:hyperlink>
    </w:p>
    <w:p w:rsidR="00D36579" w:rsidRDefault="005D6A01">
      <w:pPr>
        <w:pStyle w:val="TOC2"/>
        <w:tabs>
          <w:tab w:val="right" w:leader="dot" w:pos="9016"/>
        </w:tabs>
        <w:rPr>
          <w:rFonts w:asciiTheme="minorHAnsi" w:hAnsiTheme="minorHAnsi"/>
          <w:noProof/>
          <w:sz w:val="22"/>
        </w:rPr>
      </w:pPr>
      <w:hyperlink w:anchor="_Toc390870858" w:history="1">
        <w:r w:rsidR="00B55635" w:rsidRPr="00B55635">
          <w:rPr>
            <w:rStyle w:val="Hyperlink"/>
            <w:noProof/>
          </w:rPr>
          <w:t>Recruitment and Applicant</w:t>
        </w:r>
        <w:r w:rsidR="00D36579">
          <w:rPr>
            <w:noProof/>
            <w:webHidden/>
          </w:rPr>
          <w:tab/>
        </w:r>
        <w:r w:rsidR="006B3A31">
          <w:rPr>
            <w:noProof/>
            <w:webHidden/>
          </w:rPr>
          <w:t>8</w:t>
        </w:r>
      </w:hyperlink>
    </w:p>
    <w:p w:rsidR="00D36579" w:rsidRDefault="005D6A01">
      <w:pPr>
        <w:pStyle w:val="TOC1"/>
        <w:tabs>
          <w:tab w:val="right" w:leader="dot" w:pos="9016"/>
        </w:tabs>
        <w:rPr>
          <w:rFonts w:asciiTheme="minorHAnsi" w:hAnsiTheme="minorHAnsi"/>
          <w:noProof/>
          <w:sz w:val="22"/>
        </w:rPr>
      </w:pPr>
      <w:hyperlink w:anchor="_Toc390870859" w:history="1">
        <w:r w:rsidR="00D36579" w:rsidRPr="00A63A39">
          <w:rPr>
            <w:rStyle w:val="Hyperlink"/>
            <w:noProof/>
          </w:rPr>
          <w:t>Religion or belief</w:t>
        </w:r>
        <w:r w:rsidR="00D36579">
          <w:rPr>
            <w:noProof/>
            <w:webHidden/>
          </w:rPr>
          <w:tab/>
        </w:r>
        <w:r w:rsidR="006B3A31">
          <w:rPr>
            <w:noProof/>
            <w:webHidden/>
          </w:rPr>
          <w:t>9</w:t>
        </w:r>
      </w:hyperlink>
    </w:p>
    <w:p w:rsidR="00D36579" w:rsidRDefault="005D6A01">
      <w:pPr>
        <w:pStyle w:val="TOC2"/>
        <w:tabs>
          <w:tab w:val="right" w:leader="dot" w:pos="9016"/>
        </w:tabs>
        <w:rPr>
          <w:rFonts w:asciiTheme="minorHAnsi" w:hAnsiTheme="minorHAnsi"/>
          <w:noProof/>
          <w:sz w:val="22"/>
        </w:rPr>
      </w:pPr>
      <w:hyperlink w:anchor="_Toc390870860" w:history="1">
        <w:r w:rsidR="00B55635" w:rsidRPr="00B55635">
          <w:rPr>
            <w:rStyle w:val="Hyperlink"/>
            <w:noProof/>
          </w:rPr>
          <w:t>Recruitment and Applicant</w:t>
        </w:r>
        <w:r w:rsidR="00D36579">
          <w:rPr>
            <w:noProof/>
            <w:webHidden/>
          </w:rPr>
          <w:tab/>
        </w:r>
        <w:r w:rsidR="006B3A31">
          <w:rPr>
            <w:noProof/>
            <w:webHidden/>
          </w:rPr>
          <w:t>9</w:t>
        </w:r>
      </w:hyperlink>
    </w:p>
    <w:p w:rsidR="00D36579" w:rsidRDefault="005D6A01">
      <w:pPr>
        <w:pStyle w:val="TOC1"/>
        <w:tabs>
          <w:tab w:val="right" w:leader="dot" w:pos="9016"/>
        </w:tabs>
        <w:rPr>
          <w:rFonts w:asciiTheme="minorHAnsi" w:hAnsiTheme="minorHAnsi"/>
          <w:noProof/>
          <w:sz w:val="22"/>
        </w:rPr>
      </w:pPr>
      <w:hyperlink w:anchor="_Toc390870861" w:history="1">
        <w:r w:rsidR="00D36579" w:rsidRPr="00A63A39">
          <w:rPr>
            <w:rStyle w:val="Hyperlink"/>
            <w:noProof/>
          </w:rPr>
          <w:t>Sexual orientation</w:t>
        </w:r>
        <w:r w:rsidR="00D36579">
          <w:rPr>
            <w:noProof/>
            <w:webHidden/>
          </w:rPr>
          <w:tab/>
        </w:r>
        <w:r w:rsidR="00D36579">
          <w:rPr>
            <w:noProof/>
            <w:webHidden/>
          </w:rPr>
          <w:fldChar w:fldCharType="begin"/>
        </w:r>
        <w:r w:rsidR="00D36579">
          <w:rPr>
            <w:noProof/>
            <w:webHidden/>
          </w:rPr>
          <w:instrText xml:space="preserve"> PAGEREF _Toc390870861 \h </w:instrText>
        </w:r>
        <w:r w:rsidR="00D36579">
          <w:rPr>
            <w:noProof/>
            <w:webHidden/>
          </w:rPr>
        </w:r>
        <w:r w:rsidR="00D36579">
          <w:rPr>
            <w:noProof/>
            <w:webHidden/>
          </w:rPr>
          <w:fldChar w:fldCharType="separate"/>
        </w:r>
        <w:r w:rsidR="003D523E">
          <w:rPr>
            <w:noProof/>
            <w:webHidden/>
          </w:rPr>
          <w:t>1</w:t>
        </w:r>
        <w:r w:rsidR="006B3A31">
          <w:rPr>
            <w:noProof/>
            <w:webHidden/>
          </w:rPr>
          <w:t>1</w:t>
        </w:r>
        <w:r w:rsidR="00D36579">
          <w:rPr>
            <w:noProof/>
            <w:webHidden/>
          </w:rPr>
          <w:fldChar w:fldCharType="end"/>
        </w:r>
      </w:hyperlink>
    </w:p>
    <w:p w:rsidR="00D36579" w:rsidRDefault="005D6A01">
      <w:pPr>
        <w:pStyle w:val="TOC2"/>
        <w:tabs>
          <w:tab w:val="right" w:leader="dot" w:pos="9016"/>
        </w:tabs>
        <w:rPr>
          <w:rFonts w:asciiTheme="minorHAnsi" w:hAnsiTheme="minorHAnsi"/>
          <w:noProof/>
          <w:sz w:val="22"/>
        </w:rPr>
      </w:pPr>
      <w:hyperlink w:anchor="_Toc390870862" w:history="1">
        <w:r w:rsidR="00B55635" w:rsidRPr="00B55635">
          <w:rPr>
            <w:rStyle w:val="Hyperlink"/>
            <w:noProof/>
          </w:rPr>
          <w:t>Recruitment and Applicant</w:t>
        </w:r>
        <w:r w:rsidR="00D36579">
          <w:rPr>
            <w:noProof/>
            <w:webHidden/>
          </w:rPr>
          <w:tab/>
        </w:r>
        <w:r w:rsidR="00D36579">
          <w:rPr>
            <w:noProof/>
            <w:webHidden/>
          </w:rPr>
          <w:fldChar w:fldCharType="begin"/>
        </w:r>
        <w:r w:rsidR="00D36579">
          <w:rPr>
            <w:noProof/>
            <w:webHidden/>
          </w:rPr>
          <w:instrText xml:space="preserve"> PAGEREF _Toc390870862 \h </w:instrText>
        </w:r>
        <w:r w:rsidR="00D36579">
          <w:rPr>
            <w:noProof/>
            <w:webHidden/>
          </w:rPr>
        </w:r>
        <w:r w:rsidR="00D36579">
          <w:rPr>
            <w:noProof/>
            <w:webHidden/>
          </w:rPr>
          <w:fldChar w:fldCharType="separate"/>
        </w:r>
        <w:r w:rsidR="003D523E">
          <w:rPr>
            <w:noProof/>
            <w:webHidden/>
          </w:rPr>
          <w:t>1</w:t>
        </w:r>
        <w:r w:rsidR="006B3A31">
          <w:rPr>
            <w:noProof/>
            <w:webHidden/>
          </w:rPr>
          <w:t>1</w:t>
        </w:r>
        <w:r w:rsidR="00D36579">
          <w:rPr>
            <w:noProof/>
            <w:webHidden/>
          </w:rPr>
          <w:fldChar w:fldCharType="end"/>
        </w:r>
      </w:hyperlink>
    </w:p>
    <w:p w:rsidR="00D23386" w:rsidRDefault="00D36579" w:rsidP="004D278D">
      <w:r>
        <w:fldChar w:fldCharType="end"/>
      </w:r>
    </w:p>
    <w:p w:rsidR="0058273C" w:rsidRDefault="0058273C" w:rsidP="004D278D">
      <w:r>
        <w:br w:type="page"/>
      </w:r>
    </w:p>
    <w:p w:rsidR="00F737B3" w:rsidRDefault="0058273C" w:rsidP="0053666B">
      <w:pPr>
        <w:jc w:val="right"/>
        <w:rPr>
          <w:sz w:val="36"/>
          <w:szCs w:val="36"/>
        </w:rPr>
      </w:pPr>
      <w:r w:rsidRPr="0053666B">
        <w:rPr>
          <w:sz w:val="36"/>
          <w:szCs w:val="36"/>
        </w:rPr>
        <w:lastRenderedPageBreak/>
        <w:t>Residential schools staff</w:t>
      </w:r>
    </w:p>
    <w:p w:rsidR="0058273C" w:rsidRPr="0053666B" w:rsidRDefault="0058273C" w:rsidP="0053666B">
      <w:pPr>
        <w:pStyle w:val="Heading1"/>
        <w:jc w:val="right"/>
      </w:pPr>
      <w:bookmarkStart w:id="1" w:name="_Toc390870848"/>
      <w:r w:rsidRPr="0053666B">
        <w:t>General</w:t>
      </w:r>
      <w:bookmarkEnd w:id="1"/>
    </w:p>
    <w:p w:rsidR="00750B3D" w:rsidRDefault="00FA3896" w:rsidP="0053666B">
      <w:pPr>
        <w:pStyle w:val="Heading2"/>
      </w:pPr>
      <w:bookmarkStart w:id="2" w:name="_Toc390870849"/>
      <w:r>
        <w:t xml:space="preserve">About </w:t>
      </w:r>
      <w:r w:rsidR="00750B3D" w:rsidRPr="00287D7F">
        <w:t>Residential School Staff</w:t>
      </w:r>
      <w:bookmarkEnd w:id="2"/>
      <w:r w:rsidR="00750B3D" w:rsidRPr="00287D7F">
        <w:t xml:space="preserve"> </w:t>
      </w:r>
    </w:p>
    <w:p w:rsidR="00545339" w:rsidRDefault="00545339" w:rsidP="0053666B"/>
    <w:p w:rsidR="00750B3D" w:rsidRDefault="00750B3D" w:rsidP="003D523E">
      <w:pPr>
        <w:pStyle w:val="NoSpacing"/>
      </w:pPr>
      <w:r>
        <w:t>Around 30 modules have a residential school element which lasts from between one day to a week and are based at universities, hotels, conf</w:t>
      </w:r>
      <w:r w:rsidR="00F737B3">
        <w:t>erence centres and field study centres</w:t>
      </w:r>
      <w:r>
        <w:t xml:space="preserve"> in the UK and mainland Europe.  There are two models of schools – those that are embedded within a 30 or 60 credit module and those that are standalone 10 or 15 credit modules where the residential school is the main element of the module.  The embedded schools each have an Alternative Learning Experience (ALE) which also provides students with an online opportunity to meet the module’s learning outcomes.  The main residential school period is during the summer in July and August but the Faculty of Business and Law (FBL) holds schools throughout the year.  </w:t>
      </w:r>
    </w:p>
    <w:p w:rsidR="005D0473" w:rsidRDefault="005D0473" w:rsidP="003D523E">
      <w:pPr>
        <w:pStyle w:val="NoSpacing"/>
      </w:pPr>
    </w:p>
    <w:p w:rsidR="00750B3D" w:rsidRDefault="00750B3D" w:rsidP="003D523E">
      <w:pPr>
        <w:pStyle w:val="NoSpacing"/>
      </w:pPr>
      <w:r>
        <w:t>A large number of short term contracts are available for both internal and associate lecturer staff as well as external applicants.  A total of 1</w:t>
      </w:r>
      <w:r w:rsidR="000B7431">
        <w:t>329</w:t>
      </w:r>
      <w:r>
        <w:t xml:space="preserve"> contracts were raised for staff in 201</w:t>
      </w:r>
      <w:r w:rsidR="000B7431">
        <w:t>5</w:t>
      </w:r>
      <w:r>
        <w:t xml:space="preserve"> (although these included duplicate contracts for the same staff in some cases). </w:t>
      </w:r>
    </w:p>
    <w:p w:rsidR="00750B3D" w:rsidRDefault="00750B3D" w:rsidP="00750B3D">
      <w:pPr>
        <w:jc w:val="both"/>
        <w:rPr>
          <w:sz w:val="24"/>
          <w:szCs w:val="24"/>
        </w:rPr>
      </w:pPr>
    </w:p>
    <w:p w:rsidR="00750B3D" w:rsidRPr="00BF5F48" w:rsidRDefault="00750B3D" w:rsidP="0053666B">
      <w:pPr>
        <w:pStyle w:val="Heading2"/>
      </w:pPr>
      <w:bookmarkStart w:id="3" w:name="_Toc390870850"/>
      <w:r w:rsidRPr="00BF5F48">
        <w:t>Notes on the data</w:t>
      </w:r>
      <w:bookmarkEnd w:id="3"/>
    </w:p>
    <w:p w:rsidR="00545339" w:rsidRDefault="00545339" w:rsidP="0053666B"/>
    <w:p w:rsidR="00750B3D" w:rsidRDefault="00750B3D" w:rsidP="003D523E">
      <w:pPr>
        <w:pStyle w:val="NoSpacing"/>
      </w:pPr>
      <w:r>
        <w:t>The reporting period is from 1 January 201</w:t>
      </w:r>
      <w:r w:rsidR="000B7431">
        <w:t>5</w:t>
      </w:r>
      <w:r>
        <w:t xml:space="preserve"> to 31 December 201</w:t>
      </w:r>
      <w:r w:rsidR="000B7431">
        <w:t>5</w:t>
      </w:r>
      <w:r w:rsidR="00FA3896">
        <w:t>.</w:t>
      </w:r>
    </w:p>
    <w:p w:rsidR="005D0473" w:rsidRDefault="005D0473" w:rsidP="00750B3D">
      <w:pPr>
        <w:jc w:val="both"/>
        <w:rPr>
          <w:b/>
          <w:sz w:val="24"/>
          <w:szCs w:val="24"/>
        </w:rPr>
      </w:pPr>
    </w:p>
    <w:p w:rsidR="00750B3D" w:rsidRDefault="00750B3D" w:rsidP="0053666B">
      <w:pPr>
        <w:pStyle w:val="Subheading"/>
      </w:pPr>
      <w:r w:rsidRPr="00BF5F48">
        <w:t>Recruitment</w:t>
      </w:r>
    </w:p>
    <w:p w:rsidR="00750B3D" w:rsidRDefault="00750B3D" w:rsidP="003D523E">
      <w:pPr>
        <w:pStyle w:val="NoSpacing"/>
      </w:pPr>
      <w:r w:rsidRPr="00B65800">
        <w:t xml:space="preserve">There are two stages to the </w:t>
      </w:r>
      <w:r>
        <w:t xml:space="preserve">recruitment process, application and recruitment. Applications for all posts are handled by the Residential Schools Team (RST) who collect and record the equal opportunities data provided.  The </w:t>
      </w:r>
      <w:r w:rsidR="00045938">
        <w:t>r</w:t>
      </w:r>
      <w:r>
        <w:t>egionally appointed staff are then appointed by staff in the locations acting as hosts for the relevant residential schools.  In the cases of the language residential schools</w:t>
      </w:r>
      <w:r w:rsidR="004C3DCA">
        <w:t xml:space="preserve">, the Warwick schools </w:t>
      </w:r>
      <w:r>
        <w:t>and the FBL residential schools, however</w:t>
      </w:r>
      <w:r w:rsidR="001175AF">
        <w:t>,</w:t>
      </w:r>
      <w:r>
        <w:t xml:space="preserve"> it is the RST who formally acts as the host location.  Regionally appointed roles include school directors, residential school support managers, school administrators, and learning advisors as well as clerical roles such as assistant school administrators, and</w:t>
      </w:r>
      <w:r w:rsidR="00F737B3">
        <w:t xml:space="preserve"> office staff. A small number of</w:t>
      </w:r>
      <w:r>
        <w:t xml:space="preserve"> careers advisers are also recruited by the Central Careers Advisory Service. </w:t>
      </w:r>
    </w:p>
    <w:p w:rsidR="005D0473" w:rsidRDefault="005D0473" w:rsidP="003D523E">
      <w:pPr>
        <w:pStyle w:val="NoSpacing"/>
      </w:pPr>
    </w:p>
    <w:p w:rsidR="00750B3D" w:rsidRDefault="00750B3D" w:rsidP="003D523E">
      <w:pPr>
        <w:pStyle w:val="NoSpacing"/>
      </w:pPr>
      <w:r>
        <w:t xml:space="preserve">Central Academic (CAU) staff are at the same time appointed by members of the appropriate faculty to a specific school line and include teaching roles (module director, tutor, demonstrator etc.) as well as support roles (academic assistant, module director’s assistant etc.). </w:t>
      </w:r>
    </w:p>
    <w:p w:rsidR="005D0473" w:rsidRDefault="005D0473" w:rsidP="0053666B"/>
    <w:p w:rsidR="00750B3D" w:rsidRPr="00AD05B4" w:rsidRDefault="00750B3D" w:rsidP="0053666B">
      <w:pPr>
        <w:pStyle w:val="Subheading"/>
      </w:pPr>
      <w:r w:rsidRPr="00CC7119">
        <w:t>Grievance, Bully and Harassment</w:t>
      </w:r>
    </w:p>
    <w:p w:rsidR="00750B3D" w:rsidRPr="00A26A11" w:rsidRDefault="00750B3D" w:rsidP="0053666B">
      <w:r w:rsidRPr="00A26A11">
        <w:t xml:space="preserve">There were no incidents reported in </w:t>
      </w:r>
      <w:r w:rsidR="004C3DCA" w:rsidRPr="00A26A11">
        <w:t>2015</w:t>
      </w:r>
      <w:r w:rsidR="005D0473" w:rsidRPr="00A26A11">
        <w:t>.</w:t>
      </w:r>
    </w:p>
    <w:p w:rsidR="005D0473" w:rsidRPr="00A26A11" w:rsidRDefault="005D0473" w:rsidP="0053666B"/>
    <w:p w:rsidR="00750B3D" w:rsidRPr="00A26A11" w:rsidRDefault="00750B3D" w:rsidP="0053666B">
      <w:pPr>
        <w:pStyle w:val="Subheading"/>
      </w:pPr>
      <w:r w:rsidRPr="00A26A11">
        <w:t>Disciplinary</w:t>
      </w:r>
    </w:p>
    <w:p w:rsidR="00750B3D" w:rsidRPr="00A26A11" w:rsidRDefault="00750B3D" w:rsidP="003D523E">
      <w:pPr>
        <w:pStyle w:val="NoSpacing"/>
      </w:pPr>
      <w:r w:rsidRPr="00A26A11">
        <w:t xml:space="preserve">There were </w:t>
      </w:r>
      <w:r w:rsidR="004C3DCA" w:rsidRPr="00A26A11">
        <w:t xml:space="preserve">six </w:t>
      </w:r>
      <w:r w:rsidRPr="00A26A11">
        <w:t xml:space="preserve">cases of disciplinary action in </w:t>
      </w:r>
      <w:r w:rsidR="004C3DCA" w:rsidRPr="00A26A11">
        <w:t>2015</w:t>
      </w:r>
      <w:r w:rsidRPr="00A26A11">
        <w:t xml:space="preserve">, </w:t>
      </w:r>
      <w:r w:rsidR="004C3DCA" w:rsidRPr="00A26A11">
        <w:t xml:space="preserve">four </w:t>
      </w:r>
      <w:r w:rsidR="00E26389" w:rsidRPr="00A26A11">
        <w:t xml:space="preserve">were </w:t>
      </w:r>
      <w:r w:rsidRPr="00A26A11">
        <w:t>current Associate Lecturer</w:t>
      </w:r>
      <w:r w:rsidR="00E26389" w:rsidRPr="00A26A11">
        <w:t>s</w:t>
      </w:r>
      <w:r w:rsidRPr="00A26A11">
        <w:t xml:space="preserve"> at the time one an external applicant</w:t>
      </w:r>
      <w:r w:rsidR="00E26389" w:rsidRPr="00A26A11">
        <w:t xml:space="preserve"> in a CAU role and one an external applicant in a regional (disability support) role</w:t>
      </w:r>
      <w:r w:rsidRPr="00A26A11">
        <w:t xml:space="preserve">.  </w:t>
      </w:r>
      <w:r w:rsidR="00E26389" w:rsidRPr="00A26A11">
        <w:t xml:space="preserve">All individuals were issued with final written warnings because of </w:t>
      </w:r>
      <w:r w:rsidRPr="00A26A11">
        <w:t xml:space="preserve">the serious nature of the incidents </w:t>
      </w:r>
      <w:r w:rsidR="00E26389" w:rsidRPr="00A26A11">
        <w:t xml:space="preserve">which will be held on their records for a period of one year from the date of issue.  </w:t>
      </w:r>
    </w:p>
    <w:p w:rsidR="005D0473" w:rsidRPr="00A26A11" w:rsidRDefault="005D0473" w:rsidP="0053666B"/>
    <w:p w:rsidR="00750B3D" w:rsidRPr="00A26A11" w:rsidRDefault="00750B3D" w:rsidP="0053666B">
      <w:pPr>
        <w:pStyle w:val="Subheading"/>
      </w:pPr>
      <w:r w:rsidRPr="00A26A11">
        <w:t>Reasonable adjustment</w:t>
      </w:r>
    </w:p>
    <w:p w:rsidR="005D0473" w:rsidRPr="00A26A11" w:rsidRDefault="00750B3D" w:rsidP="005D0473">
      <w:r w:rsidRPr="00A26A11">
        <w:t xml:space="preserve">There were no reasonable adjustments reported in </w:t>
      </w:r>
      <w:r w:rsidR="004C3DCA" w:rsidRPr="00A26A11">
        <w:t>2015</w:t>
      </w:r>
      <w:r w:rsidRPr="00A26A11">
        <w:t>.</w:t>
      </w:r>
    </w:p>
    <w:p w:rsidR="003D523E" w:rsidRDefault="003D523E" w:rsidP="005D0473"/>
    <w:p w:rsidR="003D523E" w:rsidRDefault="003D523E" w:rsidP="005D0473"/>
    <w:p w:rsidR="00D306E0" w:rsidRDefault="00D306E0">
      <w:pPr>
        <w:spacing w:after="200" w:line="276" w:lineRule="auto"/>
        <w:rPr>
          <w:sz w:val="36"/>
          <w:szCs w:val="36"/>
        </w:rPr>
      </w:pPr>
      <w:r>
        <w:rPr>
          <w:sz w:val="36"/>
          <w:szCs w:val="36"/>
        </w:rPr>
        <w:br w:type="page"/>
      </w:r>
    </w:p>
    <w:p w:rsidR="005D0473" w:rsidRDefault="005D0473" w:rsidP="005D0473">
      <w:pPr>
        <w:jc w:val="right"/>
        <w:rPr>
          <w:sz w:val="36"/>
          <w:szCs w:val="36"/>
        </w:rPr>
      </w:pPr>
      <w:r w:rsidRPr="00DB767F">
        <w:rPr>
          <w:sz w:val="36"/>
          <w:szCs w:val="36"/>
        </w:rPr>
        <w:lastRenderedPageBreak/>
        <w:t>Residential schools staff</w:t>
      </w:r>
    </w:p>
    <w:p w:rsidR="005D0473" w:rsidRDefault="00FA3896" w:rsidP="0053666B">
      <w:pPr>
        <w:pStyle w:val="Heading1"/>
        <w:jc w:val="right"/>
      </w:pPr>
      <w:bookmarkStart w:id="4" w:name="_Toc390870851"/>
      <w:r>
        <w:t>Age</w:t>
      </w:r>
      <w:bookmarkEnd w:id="4"/>
    </w:p>
    <w:p w:rsidR="00FA3896" w:rsidRDefault="009820EF" w:rsidP="0053666B">
      <w:pPr>
        <w:pStyle w:val="Heading2"/>
      </w:pPr>
      <w:r>
        <w:t>Recruitment and Applicants</w:t>
      </w:r>
    </w:p>
    <w:p w:rsidR="009820EF" w:rsidRPr="009820EF" w:rsidRDefault="009820EF" w:rsidP="009820EF"/>
    <w:p w:rsidR="005D0473" w:rsidRPr="009C1C9C" w:rsidRDefault="00750B3D" w:rsidP="003D523E">
      <w:pPr>
        <w:pStyle w:val="NoSpacing"/>
      </w:pPr>
      <w:r w:rsidRPr="009C1C9C">
        <w:t xml:space="preserve">The largest proportions of </w:t>
      </w:r>
      <w:r w:rsidR="000E13C2" w:rsidRPr="009C1C9C">
        <w:t xml:space="preserve">staff </w:t>
      </w:r>
      <w:r w:rsidR="00F737B3" w:rsidRPr="009C1C9C">
        <w:t>appointees</w:t>
      </w:r>
      <w:r w:rsidRPr="009C1C9C">
        <w:t xml:space="preserve"> are in the 56 and over age group with noticeably only </w:t>
      </w:r>
      <w:r w:rsidR="009C1C9C" w:rsidRPr="009C1C9C">
        <w:t>5</w:t>
      </w:r>
      <w:r w:rsidR="000E13C2" w:rsidRPr="009C1C9C">
        <w:t>%</w:t>
      </w:r>
      <w:r w:rsidRPr="009C1C9C">
        <w:t xml:space="preserve"> of the </w:t>
      </w:r>
      <w:r w:rsidR="00F737B3" w:rsidRPr="009C1C9C">
        <w:t>CAU appointees</w:t>
      </w:r>
      <w:r w:rsidRPr="009C1C9C">
        <w:t xml:space="preserve"> </w:t>
      </w:r>
      <w:r w:rsidR="00F737B3" w:rsidRPr="009C1C9C">
        <w:t>being</w:t>
      </w:r>
      <w:r w:rsidRPr="009C1C9C">
        <w:t xml:space="preserve"> in the twenty five </w:t>
      </w:r>
      <w:r w:rsidR="000E13C2" w:rsidRPr="009C1C9C">
        <w:t xml:space="preserve">and under </w:t>
      </w:r>
      <w:r w:rsidRPr="009C1C9C">
        <w:t xml:space="preserve">category.  This contrasts markedly with regional </w:t>
      </w:r>
      <w:r w:rsidR="00F737B3" w:rsidRPr="009C1C9C">
        <w:t>staff</w:t>
      </w:r>
      <w:r w:rsidRPr="009C1C9C">
        <w:t xml:space="preserve"> where 3</w:t>
      </w:r>
      <w:r w:rsidR="009C1C9C" w:rsidRPr="009C1C9C">
        <w:t>0</w:t>
      </w:r>
      <w:r w:rsidRPr="009C1C9C">
        <w:t xml:space="preserve">% of </w:t>
      </w:r>
      <w:r w:rsidR="00F737B3" w:rsidRPr="009C1C9C">
        <w:t>appointees are</w:t>
      </w:r>
      <w:r w:rsidRPr="009C1C9C">
        <w:t xml:space="preserve"> in the under 25 category. This is because regional staff are often appointed from amongst students studying at host institutions. </w:t>
      </w:r>
    </w:p>
    <w:p w:rsidR="00EE3EEC" w:rsidRDefault="00EE3EEC" w:rsidP="0053666B"/>
    <w:p w:rsidR="00EE3EEC" w:rsidRDefault="00EE3EEC" w:rsidP="0053666B">
      <w:pPr>
        <w:pStyle w:val="Tablechartheading"/>
      </w:pPr>
      <w:r>
        <w:t xml:space="preserve">Table 1:  </w:t>
      </w:r>
      <w:r w:rsidRPr="00EE3EEC">
        <w:t>Job appointees by age (201</w:t>
      </w:r>
      <w:r w:rsidR="000B7431">
        <w:t>5</w:t>
      </w:r>
      <w:r w:rsidRPr="00EE3EEC">
        <w:t>)</w:t>
      </w:r>
    </w:p>
    <w:p w:rsidR="00EE3EEC" w:rsidRPr="00490DE8" w:rsidRDefault="00EE3EEC" w:rsidP="0053666B"/>
    <w:tbl>
      <w:tblPr>
        <w:tblW w:w="8294" w:type="dxa"/>
        <w:tblLook w:val="04A0" w:firstRow="1" w:lastRow="0" w:firstColumn="1" w:lastColumn="0" w:noHBand="0" w:noVBand="1"/>
      </w:tblPr>
      <w:tblGrid>
        <w:gridCol w:w="2263"/>
        <w:gridCol w:w="960"/>
        <w:gridCol w:w="960"/>
        <w:gridCol w:w="2191"/>
        <w:gridCol w:w="960"/>
        <w:gridCol w:w="960"/>
      </w:tblGrid>
      <w:tr w:rsidR="000B7431" w:rsidRPr="000B7431" w:rsidTr="000B7431">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Appointees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167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178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192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16%</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199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290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24%</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312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23%</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519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42%</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585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44%</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31%</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27%</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26%</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21%</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25 and under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175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26 - 35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187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206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16%</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36 - 45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214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316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24%</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46 - 55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339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24%</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539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41%</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56 and over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607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42%</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bl>
    <w:p w:rsidR="006A0A23" w:rsidRPr="00EE3EEC" w:rsidRDefault="006A0A23">
      <w:pPr>
        <w:rPr>
          <w:rFonts w:cs="Arial"/>
          <w:szCs w:val="20"/>
        </w:rPr>
      </w:pPr>
    </w:p>
    <w:p w:rsidR="009D190E" w:rsidRPr="0053666B" w:rsidRDefault="009D190E">
      <w:pPr>
        <w:spacing w:after="200" w:line="276" w:lineRule="auto"/>
        <w:rPr>
          <w:rFonts w:cs="Arial"/>
          <w:b/>
          <w:szCs w:val="20"/>
        </w:rPr>
      </w:pPr>
      <w:r w:rsidRPr="0053666B">
        <w:rPr>
          <w:rFonts w:cs="Arial"/>
          <w:b/>
          <w:szCs w:val="20"/>
        </w:rPr>
        <w:br w:type="page"/>
      </w:r>
    </w:p>
    <w:p w:rsidR="009D190E" w:rsidRDefault="009D190E" w:rsidP="009D190E">
      <w:pPr>
        <w:jc w:val="right"/>
        <w:rPr>
          <w:sz w:val="36"/>
          <w:szCs w:val="36"/>
        </w:rPr>
      </w:pPr>
      <w:r w:rsidRPr="00DB767F">
        <w:rPr>
          <w:sz w:val="36"/>
          <w:szCs w:val="36"/>
        </w:rPr>
        <w:lastRenderedPageBreak/>
        <w:t>Residential schools staff</w:t>
      </w:r>
    </w:p>
    <w:p w:rsidR="009D190E" w:rsidRDefault="009D190E" w:rsidP="009D190E">
      <w:pPr>
        <w:pStyle w:val="Heading1"/>
        <w:jc w:val="right"/>
      </w:pPr>
      <w:bookmarkStart w:id="5" w:name="_Toc390870853"/>
      <w:r>
        <w:t>Disability</w:t>
      </w:r>
      <w:bookmarkEnd w:id="5"/>
    </w:p>
    <w:p w:rsidR="009D190E" w:rsidRPr="009D190E" w:rsidRDefault="009820EF" w:rsidP="0053666B">
      <w:pPr>
        <w:pStyle w:val="Heading2"/>
      </w:pPr>
      <w:r>
        <w:t>Recruitment and Applicants</w:t>
      </w:r>
    </w:p>
    <w:p w:rsidR="009D190E" w:rsidRDefault="009D190E" w:rsidP="000E13C2">
      <w:pPr>
        <w:jc w:val="both"/>
        <w:rPr>
          <w:b/>
          <w:sz w:val="24"/>
          <w:szCs w:val="24"/>
        </w:rPr>
      </w:pPr>
    </w:p>
    <w:p w:rsidR="009D190E" w:rsidRPr="007C6AA1" w:rsidRDefault="009D190E" w:rsidP="003D523E">
      <w:pPr>
        <w:pStyle w:val="NoSpacing"/>
      </w:pPr>
      <w:r w:rsidRPr="007C6AA1">
        <w:t xml:space="preserve">The number and percentage of staff that consider themselves as disabled and that have been appointed to CAU </w:t>
      </w:r>
      <w:r w:rsidR="007C6AA1" w:rsidRPr="007C6AA1">
        <w:t xml:space="preserve">roles has remained at 16%.  However for </w:t>
      </w:r>
      <w:r w:rsidRPr="007C6AA1">
        <w:t xml:space="preserve">Regional roles </w:t>
      </w:r>
      <w:r w:rsidR="007C6AA1" w:rsidRPr="007C6AA1">
        <w:t>this reverted to</w:t>
      </w:r>
      <w:r w:rsidRPr="007C6AA1">
        <w:t xml:space="preserve"> what was previously a consistent 3-4%</w:t>
      </w:r>
      <w:r w:rsidR="007C6AA1" w:rsidRPr="007C6AA1">
        <w:t>.</w:t>
      </w:r>
      <w:r w:rsidRPr="007C6AA1">
        <w:t xml:space="preserve">  </w:t>
      </w:r>
    </w:p>
    <w:p w:rsidR="009D190E" w:rsidRDefault="009D190E" w:rsidP="003D523E">
      <w:pPr>
        <w:pStyle w:val="NoSpacing"/>
      </w:pPr>
    </w:p>
    <w:p w:rsidR="009D190E" w:rsidRDefault="009D190E" w:rsidP="0053666B">
      <w:pPr>
        <w:pStyle w:val="Tablechartheading"/>
      </w:pPr>
      <w:r>
        <w:t xml:space="preserve">Table 2:  </w:t>
      </w:r>
      <w:r w:rsidR="00A9082B">
        <w:t>Job a</w:t>
      </w:r>
      <w:r>
        <w:t>ppointees by disability (201</w:t>
      </w:r>
      <w:r w:rsidR="000B7431">
        <w:t>5</w:t>
      </w:r>
      <w:r>
        <w:t>)</w:t>
      </w:r>
    </w:p>
    <w:p w:rsidR="009D190E" w:rsidRDefault="009D190E"/>
    <w:tbl>
      <w:tblPr>
        <w:tblW w:w="8294" w:type="dxa"/>
        <w:tblLook w:val="04A0" w:firstRow="1" w:lastRow="0" w:firstColumn="1" w:lastColumn="0" w:noHBand="0" w:noVBand="1"/>
      </w:tblPr>
      <w:tblGrid>
        <w:gridCol w:w="2263"/>
        <w:gridCol w:w="960"/>
        <w:gridCol w:w="960"/>
        <w:gridCol w:w="2191"/>
        <w:gridCol w:w="960"/>
        <w:gridCol w:w="960"/>
      </w:tblGrid>
      <w:tr w:rsidR="000B7431" w:rsidRPr="000B7431" w:rsidTr="000B7431">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Appointees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16%</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218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9C1C9C">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r w:rsidR="009C1C9C">
              <w:rPr>
                <w:rFonts w:ascii="Calibri" w:eastAsia="Times New Roman" w:hAnsi="Calibri" w:cs="Times New Roman"/>
                <w:color w:val="000000"/>
                <w:sz w:val="22"/>
              </w:rPr>
              <w:t>7</w:t>
            </w:r>
            <w:r w:rsidRPr="000B7431">
              <w:rPr>
                <w:rFonts w:ascii="Calibri" w:eastAsia="Times New Roman" w:hAnsi="Calibri" w:cs="Times New Roman"/>
                <w:color w:val="000000"/>
                <w:sz w:val="22"/>
              </w:rPr>
              <w:t>%</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1027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9C1C9C">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w:t>
            </w:r>
            <w:r w:rsidR="009C1C9C">
              <w:rPr>
                <w:rFonts w:ascii="Calibri" w:eastAsia="Times New Roman" w:hAnsi="Calibri" w:cs="Times New Roman"/>
                <w:color w:val="000000"/>
                <w:sz w:val="22"/>
              </w:rPr>
              <w:t>4</w:t>
            </w:r>
            <w:r w:rsidRPr="000B7431">
              <w:rPr>
                <w:rFonts w:ascii="Calibri" w:eastAsia="Times New Roman" w:hAnsi="Calibri" w:cs="Times New Roman"/>
                <w:color w:val="000000"/>
                <w:sz w:val="22"/>
              </w:rPr>
              <w:t>%</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1115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83%</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1227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96%</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96%</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7C6AA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C6AA1" w:rsidRPr="000B7431" w:rsidRDefault="007C6AA1" w:rsidP="007C6AA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204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222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1121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85%</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Non-Disabled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1216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85%</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1438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bl>
    <w:p w:rsidR="009D190E" w:rsidRDefault="009D190E">
      <w:pPr>
        <w:spacing w:after="200" w:line="276" w:lineRule="auto"/>
      </w:pPr>
      <w:r>
        <w:br w:type="page"/>
      </w:r>
    </w:p>
    <w:p w:rsidR="003E4FC0" w:rsidRDefault="003E4FC0" w:rsidP="003E4FC0">
      <w:pPr>
        <w:jc w:val="right"/>
        <w:rPr>
          <w:sz w:val="36"/>
          <w:szCs w:val="36"/>
        </w:rPr>
      </w:pPr>
      <w:r w:rsidRPr="00DB767F">
        <w:rPr>
          <w:sz w:val="36"/>
          <w:szCs w:val="36"/>
        </w:rPr>
        <w:lastRenderedPageBreak/>
        <w:t>Residential schools staff</w:t>
      </w:r>
    </w:p>
    <w:p w:rsidR="003E4FC0" w:rsidRDefault="003E4FC0" w:rsidP="003E4FC0">
      <w:pPr>
        <w:pStyle w:val="Heading1"/>
        <w:jc w:val="right"/>
      </w:pPr>
      <w:bookmarkStart w:id="6" w:name="_Toc390870855"/>
      <w:r>
        <w:t>Ethnicity</w:t>
      </w:r>
      <w:bookmarkEnd w:id="6"/>
    </w:p>
    <w:p w:rsidR="003E4FC0" w:rsidRPr="009D190E" w:rsidRDefault="003E4FC0" w:rsidP="003E4FC0">
      <w:pPr>
        <w:pStyle w:val="Heading2"/>
      </w:pPr>
      <w:bookmarkStart w:id="7" w:name="_Toc390870856"/>
      <w:r>
        <w:t>Recruitment</w:t>
      </w:r>
      <w:bookmarkEnd w:id="7"/>
      <w:r w:rsidR="00B55635">
        <w:t xml:space="preserve"> and Applicants</w:t>
      </w:r>
    </w:p>
    <w:p w:rsidR="009D190E" w:rsidRDefault="009D190E"/>
    <w:p w:rsidR="00635A49" w:rsidRPr="009C1C9C" w:rsidRDefault="00635A49" w:rsidP="003D523E">
      <w:pPr>
        <w:pStyle w:val="NoSpacing"/>
      </w:pPr>
      <w:r w:rsidRPr="009C1C9C">
        <w:t xml:space="preserve">Both the CAU and Regional staff show </w:t>
      </w:r>
      <w:r w:rsidR="0076145C" w:rsidRPr="009C1C9C">
        <w:t xml:space="preserve">that by far the largest number of </w:t>
      </w:r>
      <w:r w:rsidR="006B3A31">
        <w:t xml:space="preserve">appointed staff are </w:t>
      </w:r>
      <w:r w:rsidR="0076145C" w:rsidRPr="009C1C9C">
        <w:t>the white ethnic groups with 9</w:t>
      </w:r>
      <w:r w:rsidR="009C1C9C" w:rsidRPr="009C1C9C">
        <w:t>2</w:t>
      </w:r>
      <w:r w:rsidR="006B3A31">
        <w:t xml:space="preserve">% of CAU staff </w:t>
      </w:r>
      <w:r w:rsidR="0076145C" w:rsidRPr="009C1C9C">
        <w:t xml:space="preserve">and </w:t>
      </w:r>
      <w:r w:rsidR="009C1C9C" w:rsidRPr="009C1C9C">
        <w:t>74</w:t>
      </w:r>
      <w:r w:rsidR="0076145C" w:rsidRPr="009C1C9C">
        <w:t xml:space="preserve">% of regionally appointed staff.  </w:t>
      </w:r>
    </w:p>
    <w:p w:rsidR="009D190E" w:rsidRDefault="009D190E"/>
    <w:p w:rsidR="00635A49" w:rsidRDefault="005E0348" w:rsidP="0053666B">
      <w:pPr>
        <w:pStyle w:val="Tablechartheading"/>
      </w:pPr>
      <w:r>
        <w:t xml:space="preserve">Table 3:  </w:t>
      </w:r>
      <w:r w:rsidR="00A9082B">
        <w:t>Job a</w:t>
      </w:r>
      <w:r w:rsidR="00635A49">
        <w:t>ppointees by ethnicity (201</w:t>
      </w:r>
      <w:r w:rsidR="000B7431">
        <w:t>5</w:t>
      </w:r>
      <w:r w:rsidR="00635A49">
        <w:t>)</w:t>
      </w:r>
    </w:p>
    <w:p w:rsidR="002820F6" w:rsidRDefault="002820F6" w:rsidP="0053666B">
      <w:pPr>
        <w:pStyle w:val="Tablechartheading"/>
      </w:pPr>
    </w:p>
    <w:tbl>
      <w:tblPr>
        <w:tblW w:w="8465" w:type="dxa"/>
        <w:tblLook w:val="04A0" w:firstRow="1" w:lastRow="0" w:firstColumn="1" w:lastColumn="0" w:noHBand="0" w:noVBand="1"/>
      </w:tblPr>
      <w:tblGrid>
        <w:gridCol w:w="2405"/>
        <w:gridCol w:w="960"/>
        <w:gridCol w:w="960"/>
        <w:gridCol w:w="2333"/>
        <w:gridCol w:w="847"/>
        <w:gridCol w:w="960"/>
      </w:tblGrid>
      <w:tr w:rsidR="000B7431" w:rsidRPr="000B7431" w:rsidTr="000B743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Appointees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Applicants</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92%</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1214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1202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1303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2%</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74%</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75%</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Asian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Black</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Mixed</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Other</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87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Ethnic Minorities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1202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White</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1293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1289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1397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Prefer not to say</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333"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4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bl>
    <w:p w:rsidR="00635A49" w:rsidRDefault="00635A49" w:rsidP="00635A49">
      <w:pPr>
        <w:jc w:val="right"/>
        <w:rPr>
          <w:sz w:val="36"/>
          <w:szCs w:val="36"/>
        </w:rPr>
      </w:pPr>
      <w:r w:rsidRPr="00DB767F">
        <w:rPr>
          <w:sz w:val="36"/>
          <w:szCs w:val="36"/>
        </w:rPr>
        <w:lastRenderedPageBreak/>
        <w:t>Residential schools staff</w:t>
      </w:r>
    </w:p>
    <w:p w:rsidR="00635A49" w:rsidRDefault="00635A49" w:rsidP="00635A49">
      <w:pPr>
        <w:pStyle w:val="Heading1"/>
        <w:jc w:val="right"/>
      </w:pPr>
      <w:bookmarkStart w:id="8" w:name="_Toc390870857"/>
      <w:r>
        <w:t>Gender</w:t>
      </w:r>
      <w:bookmarkEnd w:id="8"/>
    </w:p>
    <w:p w:rsidR="00635A49" w:rsidRPr="009D190E" w:rsidRDefault="009820EF" w:rsidP="00635A49">
      <w:pPr>
        <w:pStyle w:val="Heading2"/>
      </w:pPr>
      <w:bookmarkStart w:id="9" w:name="_Toc390870858"/>
      <w:r>
        <w:t xml:space="preserve">Recruitment and Applicants </w:t>
      </w:r>
      <w:bookmarkEnd w:id="9"/>
    </w:p>
    <w:p w:rsidR="00635A49" w:rsidRDefault="00635A49">
      <w:pPr>
        <w:rPr>
          <w:b/>
        </w:rPr>
      </w:pPr>
    </w:p>
    <w:p w:rsidR="00970D45" w:rsidRDefault="003A52F3" w:rsidP="003D523E">
      <w:pPr>
        <w:pStyle w:val="NoSpacing"/>
      </w:pPr>
      <w:r w:rsidRPr="009C1C9C">
        <w:t>The staff appointed to regional roles remains static at around 6</w:t>
      </w:r>
      <w:r w:rsidR="009C1C9C" w:rsidRPr="009C1C9C">
        <w:t>2</w:t>
      </w:r>
      <w:r w:rsidRPr="009C1C9C">
        <w:t>% female / 3</w:t>
      </w:r>
      <w:r w:rsidR="009C1C9C" w:rsidRPr="009C1C9C">
        <w:t>8</w:t>
      </w:r>
      <w:r w:rsidRPr="009C1C9C">
        <w:t>% male.  By contrast CAU staff are 5</w:t>
      </w:r>
      <w:r w:rsidR="009C1C9C" w:rsidRPr="009C1C9C">
        <w:t>3</w:t>
      </w:r>
      <w:r w:rsidRPr="009C1C9C">
        <w:t>% male which is again very similar to 201</w:t>
      </w:r>
      <w:r w:rsidR="009C1C9C" w:rsidRPr="009C1C9C">
        <w:t>3</w:t>
      </w:r>
      <w:r w:rsidRPr="009C1C9C">
        <w:t xml:space="preserve"> but in contrast to earlier years</w:t>
      </w:r>
      <w:r w:rsidR="00F737B3" w:rsidRPr="009C1C9C">
        <w:t xml:space="preserve"> when staff were predominantly female</w:t>
      </w:r>
      <w:r w:rsidRPr="009C1C9C">
        <w:t>.</w:t>
      </w:r>
      <w:r w:rsidRPr="000B7431">
        <w:rPr>
          <w:color w:val="FF0000"/>
        </w:rPr>
        <w:t xml:space="preserve"> </w:t>
      </w:r>
    </w:p>
    <w:p w:rsidR="00635A49" w:rsidRDefault="00635A49" w:rsidP="003D523E">
      <w:pPr>
        <w:pStyle w:val="NoSpacing"/>
      </w:pPr>
    </w:p>
    <w:p w:rsidR="00635A49" w:rsidRDefault="00635A49" w:rsidP="0053666B">
      <w:pPr>
        <w:pStyle w:val="Tablechartheading"/>
      </w:pPr>
      <w:r>
        <w:t xml:space="preserve">Table 4:  Job appointees by </w:t>
      </w:r>
      <w:r w:rsidR="00E16EDA">
        <w:t>gender</w:t>
      </w:r>
      <w:r>
        <w:t xml:space="preserve"> (201</w:t>
      </w:r>
      <w:r w:rsidR="000B7431">
        <w:t>5</w:t>
      </w:r>
      <w:r>
        <w:t>)</w:t>
      </w:r>
    </w:p>
    <w:p w:rsidR="00E16EDA" w:rsidRDefault="00E16EDA" w:rsidP="0053666B">
      <w:pPr>
        <w:pStyle w:val="Tablechartheading"/>
      </w:pPr>
    </w:p>
    <w:tbl>
      <w:tblPr>
        <w:tblW w:w="8000" w:type="dxa"/>
        <w:tblLook w:val="04A0" w:firstRow="1" w:lastRow="0" w:firstColumn="1" w:lastColumn="0" w:noHBand="0" w:noVBand="1"/>
      </w:tblPr>
      <w:tblGrid>
        <w:gridCol w:w="2263"/>
        <w:gridCol w:w="777"/>
        <w:gridCol w:w="960"/>
        <w:gridCol w:w="2232"/>
        <w:gridCol w:w="808"/>
        <w:gridCol w:w="960"/>
      </w:tblGrid>
      <w:tr w:rsidR="000B7431" w:rsidRPr="000B7431" w:rsidTr="000B7431">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Appointees</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CAU Applicants</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654</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53%</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719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54%</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577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47%</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618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46%</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Regional Appointees</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38%</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38%</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62%</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62%</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All Appointees</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b/>
                <w:bCs/>
                <w:color w:val="000000"/>
                <w:sz w:val="22"/>
              </w:rPr>
            </w:pPr>
            <w:r w:rsidRPr="000B7431">
              <w:rPr>
                <w:rFonts w:ascii="Calibri" w:eastAsia="Times New Roman" w:hAnsi="Calibri" w:cs="Times New Roman"/>
                <w:b/>
                <w:bCs/>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691</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52%</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759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53%</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638</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48%</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Female</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683</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47%</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 </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Unknown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0%</w:t>
            </w:r>
          </w:p>
        </w:tc>
      </w:tr>
      <w:tr w:rsidR="000B7431" w:rsidRPr="000B7431" w:rsidTr="000B7431">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777"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c>
          <w:tcPr>
            <w:tcW w:w="2232"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rPr>
                <w:rFonts w:ascii="Calibri" w:eastAsia="Times New Roman" w:hAnsi="Calibri" w:cs="Times New Roman"/>
                <w:color w:val="000000"/>
                <w:sz w:val="22"/>
              </w:rPr>
            </w:pPr>
            <w:r w:rsidRPr="000B7431">
              <w:rPr>
                <w:rFonts w:ascii="Calibri" w:eastAsia="Times New Roman" w:hAnsi="Calibri" w:cs="Times New Roman"/>
                <w:color w:val="000000"/>
                <w:sz w:val="22"/>
              </w:rPr>
              <w:t>Grand Total</w:t>
            </w:r>
          </w:p>
        </w:tc>
        <w:tc>
          <w:tcPr>
            <w:tcW w:w="808"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0B7431" w:rsidRPr="000B7431" w:rsidRDefault="000B7431" w:rsidP="000B7431">
            <w:pPr>
              <w:spacing w:line="240" w:lineRule="auto"/>
              <w:jc w:val="right"/>
              <w:rPr>
                <w:rFonts w:ascii="Calibri" w:eastAsia="Times New Roman" w:hAnsi="Calibri" w:cs="Times New Roman"/>
                <w:color w:val="000000"/>
                <w:sz w:val="22"/>
              </w:rPr>
            </w:pPr>
            <w:r w:rsidRPr="000B7431">
              <w:rPr>
                <w:rFonts w:ascii="Calibri" w:eastAsia="Times New Roman" w:hAnsi="Calibri" w:cs="Times New Roman"/>
                <w:color w:val="000000"/>
                <w:sz w:val="22"/>
              </w:rPr>
              <w:t>100%</w:t>
            </w:r>
          </w:p>
        </w:tc>
      </w:tr>
    </w:tbl>
    <w:p w:rsidR="00E16EDA" w:rsidRDefault="00E16EDA" w:rsidP="0053666B">
      <w:pPr>
        <w:pStyle w:val="Tablechartheading"/>
      </w:pPr>
    </w:p>
    <w:p w:rsidR="00E16EDA" w:rsidRDefault="00E16EDA">
      <w:pPr>
        <w:spacing w:after="200" w:line="276" w:lineRule="auto"/>
        <w:rPr>
          <w:b/>
        </w:rPr>
      </w:pPr>
      <w:r>
        <w:br w:type="page"/>
      </w:r>
    </w:p>
    <w:p w:rsidR="00BA1311" w:rsidRDefault="00BA1311" w:rsidP="00BA1311">
      <w:pPr>
        <w:jc w:val="right"/>
        <w:rPr>
          <w:sz w:val="36"/>
          <w:szCs w:val="36"/>
        </w:rPr>
      </w:pPr>
      <w:r w:rsidRPr="00DB767F">
        <w:rPr>
          <w:sz w:val="36"/>
          <w:szCs w:val="36"/>
        </w:rPr>
        <w:lastRenderedPageBreak/>
        <w:t>Residential schools staff</w:t>
      </w:r>
    </w:p>
    <w:p w:rsidR="00BA1311" w:rsidRDefault="00BA1311" w:rsidP="00BA1311">
      <w:pPr>
        <w:pStyle w:val="Heading1"/>
        <w:jc w:val="right"/>
      </w:pPr>
      <w:bookmarkStart w:id="10" w:name="_Toc390870859"/>
      <w:r>
        <w:t>Religion or belief</w:t>
      </w:r>
      <w:bookmarkEnd w:id="10"/>
    </w:p>
    <w:p w:rsidR="00BA1311" w:rsidRPr="009D190E" w:rsidRDefault="009820EF" w:rsidP="00BA1311">
      <w:pPr>
        <w:pStyle w:val="Heading2"/>
      </w:pPr>
      <w:r>
        <w:t>Recruitment and Applicants</w:t>
      </w:r>
    </w:p>
    <w:p w:rsidR="00E16EDA" w:rsidRDefault="00E16EDA" w:rsidP="0053666B">
      <w:pPr>
        <w:pStyle w:val="Tablechartheading"/>
      </w:pPr>
    </w:p>
    <w:p w:rsidR="005D3AC2" w:rsidRPr="009C1C9C" w:rsidRDefault="00806C3C" w:rsidP="003D523E">
      <w:pPr>
        <w:pStyle w:val="NoSpacing"/>
      </w:pPr>
      <w:r w:rsidRPr="009C1C9C">
        <w:t xml:space="preserve">The largest percentage of both groups of </w:t>
      </w:r>
      <w:r w:rsidR="00F737B3" w:rsidRPr="009C1C9C">
        <w:t>appointees</w:t>
      </w:r>
      <w:r w:rsidRPr="009C1C9C">
        <w:t xml:space="preserve"> reported themselves to have no religion – </w:t>
      </w:r>
      <w:r w:rsidR="009C1C9C" w:rsidRPr="009C1C9C">
        <w:t>at</w:t>
      </w:r>
      <w:r w:rsidRPr="009C1C9C">
        <w:t xml:space="preserve"> 4</w:t>
      </w:r>
      <w:r w:rsidR="009C1C9C" w:rsidRPr="009C1C9C">
        <w:t>6</w:t>
      </w:r>
      <w:r w:rsidRPr="009C1C9C">
        <w:t xml:space="preserve">% </w:t>
      </w:r>
      <w:r w:rsidR="009C1C9C" w:rsidRPr="009C1C9C">
        <w:t>each</w:t>
      </w:r>
      <w:r w:rsidRPr="009C1C9C">
        <w:t xml:space="preserve">.  After this </w:t>
      </w:r>
      <w:r w:rsidR="000418F7" w:rsidRPr="009C1C9C">
        <w:t>the largest percentage of staff reported</w:t>
      </w:r>
      <w:r w:rsidRPr="009C1C9C">
        <w:t xml:space="preserve"> to follow</w:t>
      </w:r>
      <w:r w:rsidR="000418F7" w:rsidRPr="009C1C9C">
        <w:t>ing</w:t>
      </w:r>
      <w:r w:rsidRPr="009C1C9C">
        <w:t xml:space="preserve"> one of the Christian regions (</w:t>
      </w:r>
      <w:r w:rsidR="009C1C9C" w:rsidRPr="009C1C9C">
        <w:t>29</w:t>
      </w:r>
      <w:r w:rsidRPr="009C1C9C">
        <w:t>% of CAU appointees a</w:t>
      </w:r>
      <w:r w:rsidR="000418F7" w:rsidRPr="009C1C9C">
        <w:t xml:space="preserve">nd </w:t>
      </w:r>
      <w:r w:rsidR="009C1C9C" w:rsidRPr="009C1C9C">
        <w:t>30</w:t>
      </w:r>
      <w:r w:rsidR="000418F7" w:rsidRPr="009C1C9C">
        <w:t>% of regional appointee</w:t>
      </w:r>
      <w:r w:rsidR="00F737B3" w:rsidRPr="009C1C9C">
        <w:t>s</w:t>
      </w:r>
      <w:r w:rsidR="000418F7" w:rsidRPr="009C1C9C">
        <w:t>.)</w:t>
      </w:r>
    </w:p>
    <w:p w:rsidR="00BA1311" w:rsidRDefault="00BA1311"/>
    <w:p w:rsidR="00BA1311" w:rsidRDefault="00BA1311" w:rsidP="0053666B">
      <w:pPr>
        <w:pStyle w:val="Tablechartheading"/>
      </w:pPr>
      <w:r>
        <w:t>Table 5:  Job appointees by religion or belief (201</w:t>
      </w:r>
      <w:r w:rsidR="00D306E0">
        <w:t>5</w:t>
      </w:r>
      <w:r>
        <w:t>)</w:t>
      </w:r>
    </w:p>
    <w:p w:rsidR="00FB14C9" w:rsidRDefault="00FB14C9" w:rsidP="0053666B">
      <w:pPr>
        <w:pStyle w:val="Tablechartheading"/>
      </w:pPr>
    </w:p>
    <w:tbl>
      <w:tblPr>
        <w:tblW w:w="8294" w:type="dxa"/>
        <w:tblLook w:val="04A0" w:firstRow="1" w:lastRow="0" w:firstColumn="1" w:lastColumn="0" w:noHBand="0" w:noVBand="1"/>
      </w:tblPr>
      <w:tblGrid>
        <w:gridCol w:w="2263"/>
        <w:gridCol w:w="960"/>
        <w:gridCol w:w="960"/>
        <w:gridCol w:w="2191"/>
        <w:gridCol w:w="960"/>
        <w:gridCol w:w="960"/>
      </w:tblGrid>
      <w:tr w:rsidR="00D306E0" w:rsidRPr="00D306E0" w:rsidTr="00D306E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CAU Appointees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CAU 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363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29%</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404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572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46%</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614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46%</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1117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112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208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220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43%</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76</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Buddhist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394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Christian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436</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33%</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Hindu</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Jewish</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Muslim</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613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46%</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No religion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659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50%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lastRenderedPageBreak/>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Spiritual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1099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1198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136</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244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191"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109%</w:t>
            </w:r>
          </w:p>
        </w:tc>
      </w:tr>
    </w:tbl>
    <w:p w:rsidR="00FB14C9" w:rsidRDefault="00FB14C9" w:rsidP="0053666B">
      <w:pPr>
        <w:pStyle w:val="Tablechartheading"/>
      </w:pPr>
    </w:p>
    <w:p w:rsidR="00DE2EDB" w:rsidRDefault="00DE2EDB">
      <w:pPr>
        <w:rPr>
          <w:b/>
        </w:rPr>
      </w:pPr>
    </w:p>
    <w:p w:rsidR="00DE2EDB" w:rsidRDefault="00DE2EDB">
      <w:pPr>
        <w:spacing w:after="200" w:line="276" w:lineRule="auto"/>
        <w:rPr>
          <w:b/>
        </w:rPr>
      </w:pPr>
      <w:r>
        <w:rPr>
          <w:b/>
        </w:rPr>
        <w:br w:type="page"/>
      </w:r>
    </w:p>
    <w:p w:rsidR="00EF1BBE" w:rsidRDefault="00EF1BBE" w:rsidP="00EF1BBE">
      <w:pPr>
        <w:jc w:val="right"/>
        <w:rPr>
          <w:sz w:val="36"/>
          <w:szCs w:val="36"/>
        </w:rPr>
      </w:pPr>
      <w:r w:rsidRPr="00DB767F">
        <w:rPr>
          <w:sz w:val="36"/>
          <w:szCs w:val="36"/>
        </w:rPr>
        <w:lastRenderedPageBreak/>
        <w:t>Residential schools staff</w:t>
      </w:r>
    </w:p>
    <w:p w:rsidR="00EF1BBE" w:rsidRDefault="00EF1BBE" w:rsidP="00EF1BBE">
      <w:pPr>
        <w:pStyle w:val="Heading1"/>
        <w:jc w:val="right"/>
      </w:pPr>
      <w:bookmarkStart w:id="11" w:name="_Toc390870861"/>
      <w:r>
        <w:t>Sexual orientation</w:t>
      </w:r>
      <w:bookmarkEnd w:id="11"/>
    </w:p>
    <w:p w:rsidR="00EF1BBE" w:rsidRDefault="009820EF" w:rsidP="00EF1BBE">
      <w:pPr>
        <w:pStyle w:val="Heading2"/>
      </w:pPr>
      <w:r>
        <w:t>Recruitment and Applicants</w:t>
      </w:r>
    </w:p>
    <w:p w:rsidR="009820EF" w:rsidRPr="009820EF" w:rsidRDefault="009820EF" w:rsidP="009820EF"/>
    <w:p w:rsidR="00EF1BBE" w:rsidRDefault="0067295F">
      <w:r w:rsidRPr="00FB01A6">
        <w:t>The majority of appointees (</w:t>
      </w:r>
      <w:r w:rsidR="00F9373D" w:rsidRPr="00FB01A6">
        <w:t>68</w:t>
      </w:r>
      <w:r w:rsidR="00FE59B9" w:rsidRPr="00FB01A6">
        <w:t xml:space="preserve">% of CAU </w:t>
      </w:r>
      <w:r w:rsidRPr="00FB01A6">
        <w:t xml:space="preserve">appointees and </w:t>
      </w:r>
      <w:r w:rsidR="00F9373D" w:rsidRPr="00FB01A6">
        <w:t>74</w:t>
      </w:r>
      <w:r w:rsidRPr="00FB01A6">
        <w:t>.0</w:t>
      </w:r>
      <w:r w:rsidR="00FE59B9" w:rsidRPr="00FB01A6">
        <w:t>% of regional appointees) reported themselves to be heterosexual</w:t>
      </w:r>
      <w:r w:rsidR="00F9373D" w:rsidRPr="00FB01A6">
        <w:t>.</w:t>
      </w:r>
      <w:r w:rsidR="00FE59B9" w:rsidRPr="00FB01A6">
        <w:t xml:space="preserve"> </w:t>
      </w:r>
      <w:r w:rsidR="00F13973">
        <w:t>There was</w:t>
      </w:r>
      <w:r w:rsidR="004C7388" w:rsidRPr="009C1C9C">
        <w:t xml:space="preserve"> a significant amount of unknown data with </w:t>
      </w:r>
      <w:r w:rsidR="009C1C9C" w:rsidRPr="009C1C9C">
        <w:t>more than 25</w:t>
      </w:r>
      <w:r w:rsidR="004C7388" w:rsidRPr="009C1C9C">
        <w:t xml:space="preserve">% of the appointees </w:t>
      </w:r>
      <w:r w:rsidR="00E70926" w:rsidRPr="009C1C9C">
        <w:t xml:space="preserve">overall </w:t>
      </w:r>
      <w:r w:rsidR="004C7388" w:rsidRPr="009C1C9C">
        <w:t>either explicitly saying that they preferred not to declare their sexual orientation or leaving the data field blank</w:t>
      </w:r>
      <w:r w:rsidR="009C1C9C" w:rsidRPr="009C1C9C">
        <w:t>.</w:t>
      </w:r>
      <w:r w:rsidR="00F13973">
        <w:t xml:space="preserve">  This however may be as a result of this data not being recorded until quite recently and the higher percentage of older staff employed (as demonstrated in Table 1).</w:t>
      </w:r>
    </w:p>
    <w:p w:rsidR="004C7388" w:rsidRDefault="004C7388"/>
    <w:p w:rsidR="00EF1BBE" w:rsidRDefault="00EF1BBE" w:rsidP="00EF1BBE">
      <w:pPr>
        <w:rPr>
          <w:b/>
        </w:rPr>
      </w:pPr>
      <w:r>
        <w:rPr>
          <w:b/>
        </w:rPr>
        <w:t>Table 6:  Job appointees by sexual</w:t>
      </w:r>
      <w:r w:rsidR="0056342D">
        <w:rPr>
          <w:b/>
        </w:rPr>
        <w:t xml:space="preserve"> orientation</w:t>
      </w:r>
      <w:r>
        <w:rPr>
          <w:b/>
        </w:rPr>
        <w:t xml:space="preserve"> (201</w:t>
      </w:r>
      <w:r w:rsidR="00D306E0">
        <w:rPr>
          <w:b/>
        </w:rPr>
        <w:t>5</w:t>
      </w:r>
      <w:r>
        <w:rPr>
          <w:b/>
        </w:rPr>
        <w:t>)</w:t>
      </w:r>
    </w:p>
    <w:p w:rsidR="00EF1BBE" w:rsidRPr="00FE59B9" w:rsidRDefault="00EF1BBE"/>
    <w:tbl>
      <w:tblPr>
        <w:tblW w:w="8862" w:type="dxa"/>
        <w:tblLook w:val="04A0" w:firstRow="1" w:lastRow="0" w:firstColumn="1" w:lastColumn="0" w:noHBand="0" w:noVBand="1"/>
      </w:tblPr>
      <w:tblGrid>
        <w:gridCol w:w="2547"/>
        <w:gridCol w:w="960"/>
        <w:gridCol w:w="960"/>
        <w:gridCol w:w="2475"/>
        <w:gridCol w:w="960"/>
        <w:gridCol w:w="960"/>
      </w:tblGrid>
      <w:tr w:rsidR="00D306E0" w:rsidRPr="00D306E0" w:rsidTr="00D306E0">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CAU Appointees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CAU 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832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68%</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914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68%</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893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980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17%</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17%</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338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357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1231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1337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Regional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74%</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74%</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0%</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75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20%</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All Appointees</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b/>
                <w:bCs/>
                <w:color w:val="000000"/>
                <w:sz w:val="22"/>
              </w:rPr>
            </w:pPr>
            <w:r w:rsidRPr="00D306E0">
              <w:rPr>
                <w:rFonts w:ascii="Calibri" w:eastAsia="Times New Roman" w:hAnsi="Calibri" w:cs="Times New Roman"/>
                <w:b/>
                <w:bCs/>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905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68%</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the opposite sex (straight)</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992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69%</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lastRenderedPageBreak/>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men of the same sex (gay)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people of more than one sex (bisexual)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Towards women of the same sex (lesbian)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Other (e.g. asexual)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968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1061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233</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18%</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251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17%</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128</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sexual orientation</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130</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9%</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361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Unknown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381</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 </w:t>
            </w:r>
          </w:p>
        </w:tc>
      </w:tr>
      <w:tr w:rsidR="00D306E0" w:rsidRPr="00D306E0" w:rsidTr="00D306E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1329</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c>
          <w:tcPr>
            <w:tcW w:w="2475"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rPr>
                <w:rFonts w:ascii="Calibri" w:eastAsia="Times New Roman" w:hAnsi="Calibri" w:cs="Times New Roman"/>
                <w:color w:val="000000"/>
                <w:sz w:val="22"/>
              </w:rPr>
            </w:pPr>
            <w:r w:rsidRPr="00D306E0">
              <w:rPr>
                <w:rFonts w:ascii="Calibri" w:eastAsia="Times New Roman" w:hAnsi="Calibri" w:cs="Times New Roman"/>
                <w:color w:val="000000"/>
                <w:sz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1442</w:t>
            </w:r>
          </w:p>
        </w:tc>
        <w:tc>
          <w:tcPr>
            <w:tcW w:w="960" w:type="dxa"/>
            <w:tcBorders>
              <w:top w:val="nil"/>
              <w:left w:val="nil"/>
              <w:bottom w:val="single" w:sz="4" w:space="0" w:color="auto"/>
              <w:right w:val="single" w:sz="4" w:space="0" w:color="auto"/>
            </w:tcBorders>
            <w:shd w:val="clear" w:color="auto" w:fill="auto"/>
            <w:noWrap/>
            <w:vAlign w:val="bottom"/>
            <w:hideMark/>
          </w:tcPr>
          <w:p w:rsidR="00D306E0" w:rsidRPr="00D306E0" w:rsidRDefault="00D306E0" w:rsidP="00D306E0">
            <w:pPr>
              <w:spacing w:line="240" w:lineRule="auto"/>
              <w:jc w:val="right"/>
              <w:rPr>
                <w:rFonts w:ascii="Calibri" w:eastAsia="Times New Roman" w:hAnsi="Calibri" w:cs="Times New Roman"/>
                <w:color w:val="000000"/>
                <w:sz w:val="22"/>
              </w:rPr>
            </w:pPr>
            <w:r w:rsidRPr="00D306E0">
              <w:rPr>
                <w:rFonts w:ascii="Calibri" w:eastAsia="Times New Roman" w:hAnsi="Calibri" w:cs="Times New Roman"/>
                <w:color w:val="000000"/>
                <w:sz w:val="22"/>
              </w:rPr>
              <w:t>100%</w:t>
            </w:r>
          </w:p>
        </w:tc>
      </w:tr>
    </w:tbl>
    <w:p w:rsidR="000418F7" w:rsidRPr="005D3AC2" w:rsidRDefault="000418F7">
      <w:pPr>
        <w:rPr>
          <w:b/>
        </w:rPr>
      </w:pPr>
    </w:p>
    <w:sectPr w:rsidR="000418F7" w:rsidRPr="005D3AC2" w:rsidSect="0053666B">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CA" w:rsidRDefault="004C3DCA" w:rsidP="0058273C">
      <w:pPr>
        <w:spacing w:line="240" w:lineRule="auto"/>
      </w:pPr>
      <w:r>
        <w:separator/>
      </w:r>
    </w:p>
  </w:endnote>
  <w:endnote w:type="continuationSeparator" w:id="0">
    <w:p w:rsidR="004C3DCA" w:rsidRDefault="004C3DCA" w:rsidP="0058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329802"/>
      <w:docPartObj>
        <w:docPartGallery w:val="Page Numbers (Bottom of Page)"/>
        <w:docPartUnique/>
      </w:docPartObj>
    </w:sdtPr>
    <w:sdtEndPr>
      <w:rPr>
        <w:noProof/>
      </w:rPr>
    </w:sdtEndPr>
    <w:sdtContent>
      <w:p w:rsidR="004C3DCA" w:rsidRDefault="004C3DCA" w:rsidP="0053666B">
        <w:pPr>
          <w:pStyle w:val="Footer"/>
          <w:jc w:val="right"/>
        </w:pPr>
        <w:r>
          <w:fldChar w:fldCharType="begin"/>
        </w:r>
        <w:r>
          <w:instrText xml:space="preserve"> PAGE   \* MERGEFORMAT </w:instrText>
        </w:r>
        <w:r>
          <w:fldChar w:fldCharType="separate"/>
        </w:r>
        <w:r w:rsidR="005D6A01">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CA" w:rsidRDefault="004C3DCA" w:rsidP="0058273C">
      <w:pPr>
        <w:spacing w:line="240" w:lineRule="auto"/>
      </w:pPr>
      <w:r>
        <w:separator/>
      </w:r>
    </w:p>
  </w:footnote>
  <w:footnote w:type="continuationSeparator" w:id="0">
    <w:p w:rsidR="004C3DCA" w:rsidRDefault="004C3DCA" w:rsidP="005827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CA" w:rsidRDefault="004C3DCA" w:rsidP="0053666B">
    <w:pPr>
      <w:pStyle w:val="Header"/>
      <w:jc w:val="right"/>
    </w:pPr>
    <w:r>
      <w:rPr>
        <w:noProof/>
      </w:rPr>
      <w:drawing>
        <wp:anchor distT="0" distB="0" distL="114300" distR="114300" simplePos="0" relativeHeight="251658240" behindDoc="0" locked="0" layoutInCell="1" allowOverlap="1" wp14:anchorId="25E2856C" wp14:editId="7E2554D3">
          <wp:simplePos x="0" y="0"/>
          <wp:positionH relativeFrom="column">
            <wp:posOffset>4789805</wp:posOffset>
          </wp:positionH>
          <wp:positionV relativeFrom="paragraph">
            <wp:posOffset>635</wp:posOffset>
          </wp:positionV>
          <wp:extent cx="1358900" cy="939800"/>
          <wp:effectExtent l="0" t="0" r="0" b="0"/>
          <wp:wrapSquare wrapText="left"/>
          <wp:docPr id="2" name="Picture 2" descr="ou_CompSig_new_rgb-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CompSig_new_rgb-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3D"/>
    <w:rsid w:val="000106E1"/>
    <w:rsid w:val="00015F26"/>
    <w:rsid w:val="000418F7"/>
    <w:rsid w:val="00045938"/>
    <w:rsid w:val="00056CE8"/>
    <w:rsid w:val="00062E55"/>
    <w:rsid w:val="000B7431"/>
    <w:rsid w:val="000D1B78"/>
    <w:rsid w:val="000E13C2"/>
    <w:rsid w:val="001046EF"/>
    <w:rsid w:val="001175AF"/>
    <w:rsid w:val="0017051E"/>
    <w:rsid w:val="001B2B2B"/>
    <w:rsid w:val="001C49D3"/>
    <w:rsid w:val="001C69FB"/>
    <w:rsid w:val="001D411A"/>
    <w:rsid w:val="001F2B3E"/>
    <w:rsid w:val="00202E94"/>
    <w:rsid w:val="00235EF0"/>
    <w:rsid w:val="002424FB"/>
    <w:rsid w:val="002449D8"/>
    <w:rsid w:val="00250D19"/>
    <w:rsid w:val="002567C5"/>
    <w:rsid w:val="002820F6"/>
    <w:rsid w:val="002942BE"/>
    <w:rsid w:val="00306D7C"/>
    <w:rsid w:val="00335F12"/>
    <w:rsid w:val="00356B73"/>
    <w:rsid w:val="00373547"/>
    <w:rsid w:val="00393B12"/>
    <w:rsid w:val="003A52F3"/>
    <w:rsid w:val="003D523E"/>
    <w:rsid w:val="003D5B14"/>
    <w:rsid w:val="003E4FC0"/>
    <w:rsid w:val="003F0093"/>
    <w:rsid w:val="00405B9F"/>
    <w:rsid w:val="00415AD3"/>
    <w:rsid w:val="00433F38"/>
    <w:rsid w:val="00440144"/>
    <w:rsid w:val="004657D2"/>
    <w:rsid w:val="00467A6B"/>
    <w:rsid w:val="004905FC"/>
    <w:rsid w:val="00493B61"/>
    <w:rsid w:val="004B3375"/>
    <w:rsid w:val="004C3DCA"/>
    <w:rsid w:val="004C7388"/>
    <w:rsid w:val="004D278D"/>
    <w:rsid w:val="004E499F"/>
    <w:rsid w:val="004F3B13"/>
    <w:rsid w:val="00522636"/>
    <w:rsid w:val="00524BE8"/>
    <w:rsid w:val="0053666B"/>
    <w:rsid w:val="00545339"/>
    <w:rsid w:val="0056342D"/>
    <w:rsid w:val="00572ACE"/>
    <w:rsid w:val="0058273C"/>
    <w:rsid w:val="00594DE8"/>
    <w:rsid w:val="00597096"/>
    <w:rsid w:val="005C18B0"/>
    <w:rsid w:val="005C6823"/>
    <w:rsid w:val="005D0473"/>
    <w:rsid w:val="005D3AC2"/>
    <w:rsid w:val="005D6A01"/>
    <w:rsid w:val="005E0348"/>
    <w:rsid w:val="005F1800"/>
    <w:rsid w:val="00631C94"/>
    <w:rsid w:val="00635A49"/>
    <w:rsid w:val="0063673A"/>
    <w:rsid w:val="00650F0E"/>
    <w:rsid w:val="0067295F"/>
    <w:rsid w:val="006808F7"/>
    <w:rsid w:val="006A0A23"/>
    <w:rsid w:val="006B39CA"/>
    <w:rsid w:val="006B3A31"/>
    <w:rsid w:val="00713FC6"/>
    <w:rsid w:val="00727C59"/>
    <w:rsid w:val="007336CE"/>
    <w:rsid w:val="007403EF"/>
    <w:rsid w:val="00750B3D"/>
    <w:rsid w:val="0076145C"/>
    <w:rsid w:val="00785609"/>
    <w:rsid w:val="007C6AA1"/>
    <w:rsid w:val="00806C3C"/>
    <w:rsid w:val="008104A3"/>
    <w:rsid w:val="008238F7"/>
    <w:rsid w:val="00827233"/>
    <w:rsid w:val="00832BD2"/>
    <w:rsid w:val="00856015"/>
    <w:rsid w:val="008722EF"/>
    <w:rsid w:val="00872F6E"/>
    <w:rsid w:val="008A39CB"/>
    <w:rsid w:val="008C5860"/>
    <w:rsid w:val="008D0E00"/>
    <w:rsid w:val="008D4775"/>
    <w:rsid w:val="008F628D"/>
    <w:rsid w:val="008F7B00"/>
    <w:rsid w:val="00924E8A"/>
    <w:rsid w:val="00932608"/>
    <w:rsid w:val="00941340"/>
    <w:rsid w:val="00970D45"/>
    <w:rsid w:val="00976C5E"/>
    <w:rsid w:val="0098208D"/>
    <w:rsid w:val="009820EF"/>
    <w:rsid w:val="009847D2"/>
    <w:rsid w:val="009911A4"/>
    <w:rsid w:val="009C0590"/>
    <w:rsid w:val="009C1C9C"/>
    <w:rsid w:val="009D190E"/>
    <w:rsid w:val="009F0B28"/>
    <w:rsid w:val="009F76DB"/>
    <w:rsid w:val="00A2281A"/>
    <w:rsid w:val="00A26A11"/>
    <w:rsid w:val="00A9082B"/>
    <w:rsid w:val="00B00CD3"/>
    <w:rsid w:val="00B21A04"/>
    <w:rsid w:val="00B35BAE"/>
    <w:rsid w:val="00B47CAC"/>
    <w:rsid w:val="00B53C52"/>
    <w:rsid w:val="00B55635"/>
    <w:rsid w:val="00B65CA0"/>
    <w:rsid w:val="00B87DFE"/>
    <w:rsid w:val="00BA1311"/>
    <w:rsid w:val="00BB2A0F"/>
    <w:rsid w:val="00BD180F"/>
    <w:rsid w:val="00BE37F6"/>
    <w:rsid w:val="00C21160"/>
    <w:rsid w:val="00C2669F"/>
    <w:rsid w:val="00C739A2"/>
    <w:rsid w:val="00CC45CB"/>
    <w:rsid w:val="00CD72DE"/>
    <w:rsid w:val="00CE5C98"/>
    <w:rsid w:val="00D23386"/>
    <w:rsid w:val="00D306E0"/>
    <w:rsid w:val="00D36579"/>
    <w:rsid w:val="00DB001E"/>
    <w:rsid w:val="00DD0DD3"/>
    <w:rsid w:val="00DE2EDB"/>
    <w:rsid w:val="00E01B76"/>
    <w:rsid w:val="00E16EDA"/>
    <w:rsid w:val="00E26389"/>
    <w:rsid w:val="00E37FD9"/>
    <w:rsid w:val="00E531BC"/>
    <w:rsid w:val="00E70926"/>
    <w:rsid w:val="00E87FD8"/>
    <w:rsid w:val="00EA1D6D"/>
    <w:rsid w:val="00EA6002"/>
    <w:rsid w:val="00EB1604"/>
    <w:rsid w:val="00EC2AA1"/>
    <w:rsid w:val="00ED16E8"/>
    <w:rsid w:val="00EE331B"/>
    <w:rsid w:val="00EE3EEC"/>
    <w:rsid w:val="00EF1BBE"/>
    <w:rsid w:val="00F119F9"/>
    <w:rsid w:val="00F13973"/>
    <w:rsid w:val="00F737B3"/>
    <w:rsid w:val="00F81FF9"/>
    <w:rsid w:val="00F9373D"/>
    <w:rsid w:val="00FA3896"/>
    <w:rsid w:val="00FA5558"/>
    <w:rsid w:val="00FA6E32"/>
    <w:rsid w:val="00FB01A6"/>
    <w:rsid w:val="00FB14C9"/>
    <w:rsid w:val="00FE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A32D064-97C4-49B8-B38F-112EE7BA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3"/>
    <w:pPr>
      <w:spacing w:after="0" w:line="260" w:lineRule="atLeast"/>
    </w:pPr>
    <w:rPr>
      <w:rFonts w:ascii="Arial" w:eastAsiaTheme="minorEastAsia" w:hAnsi="Arial"/>
      <w:sz w:val="20"/>
      <w:lang w:eastAsia="en-GB"/>
    </w:rPr>
  </w:style>
  <w:style w:type="paragraph" w:styleId="Heading1">
    <w:name w:val="heading 1"/>
    <w:basedOn w:val="Normal"/>
    <w:next w:val="Normal"/>
    <w:link w:val="Heading1Char"/>
    <w:uiPriority w:val="9"/>
    <w:qFormat/>
    <w:rsid w:val="005D0473"/>
    <w:pPr>
      <w:keepNext/>
      <w:keepLines/>
      <w:outlineLvl w:val="0"/>
    </w:pPr>
    <w:rPr>
      <w:rFonts w:eastAsiaTheme="majorEastAsia" w:cstheme="majorBidi"/>
      <w:bCs/>
      <w:color w:val="EF6820"/>
      <w:sz w:val="32"/>
      <w:szCs w:val="28"/>
    </w:rPr>
  </w:style>
  <w:style w:type="paragraph" w:styleId="Heading2">
    <w:name w:val="heading 2"/>
    <w:basedOn w:val="Normal"/>
    <w:next w:val="Normal"/>
    <w:link w:val="Heading2Char"/>
    <w:uiPriority w:val="9"/>
    <w:unhideWhenUsed/>
    <w:qFormat/>
    <w:rsid w:val="005D0473"/>
    <w:pPr>
      <w:keepNext/>
      <w:keepLines/>
      <w:outlineLvl w:val="1"/>
    </w:pPr>
    <w:rPr>
      <w:rFonts w:eastAsiaTheme="majorEastAsia" w:cstheme="majorBid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F9"/>
    <w:rPr>
      <w:rFonts w:ascii="Tahoma" w:eastAsiaTheme="minorEastAsia" w:hAnsi="Tahoma" w:cs="Tahoma"/>
      <w:sz w:val="16"/>
      <w:szCs w:val="16"/>
      <w:lang w:eastAsia="en-GB"/>
    </w:rPr>
  </w:style>
  <w:style w:type="paragraph" w:styleId="Header">
    <w:name w:val="header"/>
    <w:basedOn w:val="Normal"/>
    <w:link w:val="HeaderChar"/>
    <w:uiPriority w:val="99"/>
    <w:unhideWhenUsed/>
    <w:rsid w:val="0058273C"/>
    <w:pPr>
      <w:tabs>
        <w:tab w:val="center" w:pos="4513"/>
        <w:tab w:val="right" w:pos="9026"/>
      </w:tabs>
      <w:spacing w:line="240" w:lineRule="auto"/>
    </w:pPr>
  </w:style>
  <w:style w:type="character" w:customStyle="1" w:styleId="HeaderChar">
    <w:name w:val="Header Char"/>
    <w:basedOn w:val="DefaultParagraphFont"/>
    <w:link w:val="Header"/>
    <w:uiPriority w:val="99"/>
    <w:rsid w:val="0058273C"/>
    <w:rPr>
      <w:rFonts w:eastAsiaTheme="minorEastAsia"/>
      <w:sz w:val="20"/>
      <w:lang w:eastAsia="en-GB"/>
    </w:rPr>
  </w:style>
  <w:style w:type="paragraph" w:styleId="Footer">
    <w:name w:val="footer"/>
    <w:basedOn w:val="Normal"/>
    <w:link w:val="FooterChar"/>
    <w:uiPriority w:val="99"/>
    <w:unhideWhenUsed/>
    <w:rsid w:val="0058273C"/>
    <w:pPr>
      <w:tabs>
        <w:tab w:val="center" w:pos="4513"/>
        <w:tab w:val="right" w:pos="9026"/>
      </w:tabs>
      <w:spacing w:line="240" w:lineRule="auto"/>
    </w:pPr>
  </w:style>
  <w:style w:type="character" w:customStyle="1" w:styleId="FooterChar">
    <w:name w:val="Footer Char"/>
    <w:basedOn w:val="DefaultParagraphFont"/>
    <w:link w:val="Footer"/>
    <w:uiPriority w:val="99"/>
    <w:rsid w:val="0058273C"/>
    <w:rPr>
      <w:rFonts w:eastAsiaTheme="minorEastAsia"/>
      <w:sz w:val="20"/>
      <w:lang w:eastAsia="en-GB"/>
    </w:rPr>
  </w:style>
  <w:style w:type="character" w:customStyle="1" w:styleId="Heading2Char">
    <w:name w:val="Heading 2 Char"/>
    <w:basedOn w:val="DefaultParagraphFont"/>
    <w:link w:val="Heading2"/>
    <w:uiPriority w:val="9"/>
    <w:rsid w:val="005D0473"/>
    <w:rPr>
      <w:rFonts w:ascii="Arial" w:eastAsiaTheme="majorEastAsia" w:hAnsi="Arial" w:cstheme="majorBidi"/>
      <w:bCs/>
      <w:sz w:val="32"/>
      <w:szCs w:val="26"/>
      <w:lang w:eastAsia="en-GB"/>
    </w:rPr>
  </w:style>
  <w:style w:type="character" w:customStyle="1" w:styleId="Heading1Char">
    <w:name w:val="Heading 1 Char"/>
    <w:basedOn w:val="DefaultParagraphFont"/>
    <w:link w:val="Heading1"/>
    <w:uiPriority w:val="9"/>
    <w:rsid w:val="005D0473"/>
    <w:rPr>
      <w:rFonts w:ascii="Arial" w:eastAsiaTheme="majorEastAsia" w:hAnsi="Arial" w:cstheme="majorBidi"/>
      <w:bCs/>
      <w:color w:val="EF6820"/>
      <w:sz w:val="32"/>
      <w:szCs w:val="28"/>
      <w:lang w:eastAsia="en-GB"/>
    </w:rPr>
  </w:style>
  <w:style w:type="paragraph" w:customStyle="1" w:styleId="Subheading">
    <w:name w:val="Subheading"/>
    <w:basedOn w:val="Normal"/>
    <w:link w:val="SubheadingChar"/>
    <w:qFormat/>
    <w:rsid w:val="005D0473"/>
    <w:pPr>
      <w:jc w:val="both"/>
    </w:pPr>
    <w:rPr>
      <w:b/>
      <w:sz w:val="24"/>
      <w:szCs w:val="24"/>
    </w:rPr>
  </w:style>
  <w:style w:type="paragraph" w:customStyle="1" w:styleId="Tablechartheading">
    <w:name w:val="Table chart heading"/>
    <w:basedOn w:val="Normal"/>
    <w:link w:val="TablechartheadingChar"/>
    <w:qFormat/>
    <w:rsid w:val="00FA3896"/>
    <w:rPr>
      <w:b/>
    </w:rPr>
  </w:style>
  <w:style w:type="character" w:customStyle="1" w:styleId="SubheadingChar">
    <w:name w:val="Subheading Char"/>
    <w:basedOn w:val="DefaultParagraphFont"/>
    <w:link w:val="Subheading"/>
    <w:rsid w:val="005D0473"/>
    <w:rPr>
      <w:rFonts w:ascii="Arial" w:eastAsiaTheme="minorEastAsia" w:hAnsi="Arial"/>
      <w:b/>
      <w:sz w:val="24"/>
      <w:szCs w:val="24"/>
      <w:lang w:eastAsia="en-GB"/>
    </w:rPr>
  </w:style>
  <w:style w:type="character" w:styleId="CommentReference">
    <w:name w:val="annotation reference"/>
    <w:basedOn w:val="DefaultParagraphFont"/>
    <w:uiPriority w:val="99"/>
    <w:semiHidden/>
    <w:unhideWhenUsed/>
    <w:rsid w:val="004D278D"/>
    <w:rPr>
      <w:sz w:val="16"/>
      <w:szCs w:val="16"/>
    </w:rPr>
  </w:style>
  <w:style w:type="character" w:customStyle="1" w:styleId="TablechartheadingChar">
    <w:name w:val="Table chart heading Char"/>
    <w:basedOn w:val="DefaultParagraphFont"/>
    <w:link w:val="Tablechartheading"/>
    <w:rsid w:val="00FA3896"/>
    <w:rPr>
      <w:rFonts w:ascii="Arial" w:eastAsiaTheme="minorEastAsia" w:hAnsi="Arial"/>
      <w:b/>
      <w:sz w:val="20"/>
      <w:lang w:eastAsia="en-GB"/>
    </w:rPr>
  </w:style>
  <w:style w:type="paragraph" w:styleId="CommentText">
    <w:name w:val="annotation text"/>
    <w:basedOn w:val="Normal"/>
    <w:link w:val="CommentTextChar"/>
    <w:uiPriority w:val="99"/>
    <w:semiHidden/>
    <w:unhideWhenUsed/>
    <w:rsid w:val="004D278D"/>
    <w:pPr>
      <w:spacing w:line="240" w:lineRule="auto"/>
    </w:pPr>
    <w:rPr>
      <w:szCs w:val="20"/>
    </w:rPr>
  </w:style>
  <w:style w:type="character" w:customStyle="1" w:styleId="CommentTextChar">
    <w:name w:val="Comment Text Char"/>
    <w:basedOn w:val="DefaultParagraphFont"/>
    <w:link w:val="CommentText"/>
    <w:uiPriority w:val="99"/>
    <w:semiHidden/>
    <w:rsid w:val="004D278D"/>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4D278D"/>
    <w:rPr>
      <w:b/>
      <w:bCs/>
    </w:rPr>
  </w:style>
  <w:style w:type="character" w:customStyle="1" w:styleId="CommentSubjectChar">
    <w:name w:val="Comment Subject Char"/>
    <w:basedOn w:val="CommentTextChar"/>
    <w:link w:val="CommentSubject"/>
    <w:uiPriority w:val="99"/>
    <w:semiHidden/>
    <w:rsid w:val="004D278D"/>
    <w:rPr>
      <w:rFonts w:ascii="Arial" w:eastAsiaTheme="minorEastAsia" w:hAnsi="Arial"/>
      <w:b/>
      <w:bCs/>
      <w:sz w:val="20"/>
      <w:szCs w:val="20"/>
      <w:lang w:eastAsia="en-GB"/>
    </w:rPr>
  </w:style>
  <w:style w:type="paragraph" w:styleId="Revision">
    <w:name w:val="Revision"/>
    <w:hidden/>
    <w:uiPriority w:val="99"/>
    <w:semiHidden/>
    <w:rsid w:val="004D278D"/>
    <w:pPr>
      <w:spacing w:after="0" w:line="240" w:lineRule="auto"/>
    </w:pPr>
    <w:rPr>
      <w:rFonts w:ascii="Arial" w:eastAsiaTheme="minorEastAsia" w:hAnsi="Arial"/>
      <w:sz w:val="20"/>
      <w:lang w:eastAsia="en-GB"/>
    </w:rPr>
  </w:style>
  <w:style w:type="character" w:styleId="Hyperlink">
    <w:name w:val="Hyperlink"/>
    <w:basedOn w:val="DefaultParagraphFont"/>
    <w:uiPriority w:val="99"/>
    <w:unhideWhenUsed/>
    <w:rsid w:val="00D36579"/>
    <w:rPr>
      <w:color w:val="0000FF" w:themeColor="hyperlink"/>
      <w:u w:val="single"/>
    </w:rPr>
  </w:style>
  <w:style w:type="paragraph" w:styleId="TOC1">
    <w:name w:val="toc 1"/>
    <w:basedOn w:val="Normal"/>
    <w:next w:val="Normal"/>
    <w:autoRedefine/>
    <w:uiPriority w:val="39"/>
    <w:unhideWhenUsed/>
    <w:rsid w:val="00D36579"/>
    <w:pPr>
      <w:spacing w:after="100"/>
    </w:pPr>
    <w:rPr>
      <w:sz w:val="24"/>
    </w:rPr>
  </w:style>
  <w:style w:type="paragraph" w:styleId="TOC2">
    <w:name w:val="toc 2"/>
    <w:basedOn w:val="Normal"/>
    <w:next w:val="Normal"/>
    <w:autoRedefine/>
    <w:uiPriority w:val="39"/>
    <w:unhideWhenUsed/>
    <w:rsid w:val="00D36579"/>
    <w:pPr>
      <w:spacing w:after="100"/>
      <w:ind w:left="567"/>
    </w:pPr>
  </w:style>
  <w:style w:type="paragraph" w:styleId="NoSpacing">
    <w:name w:val="No Spacing"/>
    <w:uiPriority w:val="1"/>
    <w:qFormat/>
    <w:rsid w:val="003D523E"/>
    <w:pPr>
      <w:spacing w:after="0" w:line="240" w:lineRule="auto"/>
    </w:pPr>
    <w:rPr>
      <w:rFonts w:ascii="Arial" w:eastAsiaTheme="minorEastAsia"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6206">
      <w:bodyDiv w:val="1"/>
      <w:marLeft w:val="0"/>
      <w:marRight w:val="0"/>
      <w:marTop w:val="0"/>
      <w:marBottom w:val="0"/>
      <w:divBdr>
        <w:top w:val="none" w:sz="0" w:space="0" w:color="auto"/>
        <w:left w:val="none" w:sz="0" w:space="0" w:color="auto"/>
        <w:bottom w:val="none" w:sz="0" w:space="0" w:color="auto"/>
        <w:right w:val="none" w:sz="0" w:space="0" w:color="auto"/>
      </w:divBdr>
    </w:div>
    <w:div w:id="331951408">
      <w:bodyDiv w:val="1"/>
      <w:marLeft w:val="0"/>
      <w:marRight w:val="0"/>
      <w:marTop w:val="0"/>
      <w:marBottom w:val="0"/>
      <w:divBdr>
        <w:top w:val="none" w:sz="0" w:space="0" w:color="auto"/>
        <w:left w:val="none" w:sz="0" w:space="0" w:color="auto"/>
        <w:bottom w:val="none" w:sz="0" w:space="0" w:color="auto"/>
        <w:right w:val="none" w:sz="0" w:space="0" w:color="auto"/>
      </w:divBdr>
    </w:div>
    <w:div w:id="1450079165">
      <w:bodyDiv w:val="1"/>
      <w:marLeft w:val="0"/>
      <w:marRight w:val="0"/>
      <w:marTop w:val="0"/>
      <w:marBottom w:val="0"/>
      <w:divBdr>
        <w:top w:val="none" w:sz="0" w:space="0" w:color="auto"/>
        <w:left w:val="none" w:sz="0" w:space="0" w:color="auto"/>
        <w:bottom w:val="none" w:sz="0" w:space="0" w:color="auto"/>
        <w:right w:val="none" w:sz="0" w:space="0" w:color="auto"/>
      </w:divBdr>
    </w:div>
    <w:div w:id="1556353443">
      <w:bodyDiv w:val="1"/>
      <w:marLeft w:val="0"/>
      <w:marRight w:val="0"/>
      <w:marTop w:val="0"/>
      <w:marBottom w:val="0"/>
      <w:divBdr>
        <w:top w:val="none" w:sz="0" w:space="0" w:color="auto"/>
        <w:left w:val="none" w:sz="0" w:space="0" w:color="auto"/>
        <w:bottom w:val="none" w:sz="0" w:space="0" w:color="auto"/>
        <w:right w:val="none" w:sz="0" w:space="0" w:color="auto"/>
      </w:divBdr>
    </w:div>
    <w:div w:id="1638729459">
      <w:bodyDiv w:val="1"/>
      <w:marLeft w:val="0"/>
      <w:marRight w:val="0"/>
      <w:marTop w:val="0"/>
      <w:marBottom w:val="0"/>
      <w:divBdr>
        <w:top w:val="none" w:sz="0" w:space="0" w:color="auto"/>
        <w:left w:val="none" w:sz="0" w:space="0" w:color="auto"/>
        <w:bottom w:val="none" w:sz="0" w:space="0" w:color="auto"/>
        <w:right w:val="none" w:sz="0" w:space="0" w:color="auto"/>
      </w:divBdr>
    </w:div>
    <w:div w:id="1877693385">
      <w:bodyDiv w:val="1"/>
      <w:marLeft w:val="0"/>
      <w:marRight w:val="0"/>
      <w:marTop w:val="0"/>
      <w:marBottom w:val="0"/>
      <w:divBdr>
        <w:top w:val="none" w:sz="0" w:space="0" w:color="auto"/>
        <w:left w:val="none" w:sz="0" w:space="0" w:color="auto"/>
        <w:bottom w:val="none" w:sz="0" w:space="0" w:color="auto"/>
        <w:right w:val="none" w:sz="0" w:space="0" w:color="auto"/>
      </w:divBdr>
    </w:div>
    <w:div w:id="21399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y-equality@ope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2E59-9BD2-4143-B7F8-39AEC922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D.N.Peat</dc:creator>
  <cp:lastModifiedBy>Nicola.Graham</cp:lastModifiedBy>
  <cp:revision>4</cp:revision>
  <cp:lastPrinted>2014-06-18T15:42:00Z</cp:lastPrinted>
  <dcterms:created xsi:type="dcterms:W3CDTF">2016-06-08T09:40:00Z</dcterms:created>
  <dcterms:modified xsi:type="dcterms:W3CDTF">2016-06-08T10:38:00Z</dcterms:modified>
</cp:coreProperties>
</file>