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C3" w:rsidRDefault="007A05C3">
      <w:r w:rsidRPr="007A05C3">
        <w:rPr>
          <w:noProof/>
          <w:lang w:eastAsia="zh-CN"/>
        </w:rPr>
        <w:t xml:space="preserve"> </w:t>
      </w:r>
      <w:r w:rsidR="007C087D">
        <w:rPr>
          <w:noProof/>
          <w:lang w:eastAsia="en-GB"/>
        </w:rPr>
        <w:drawing>
          <wp:inline distT="0" distB="0" distL="0" distR="0" wp14:anchorId="7A2857DD" wp14:editId="78BFC28D">
            <wp:extent cx="863600" cy="863600"/>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863600" cy="863600"/>
                    </a:xfrm>
                    <a:prstGeom prst="rect">
                      <a:avLst/>
                    </a:prstGeom>
                  </pic:spPr>
                </pic:pic>
              </a:graphicData>
            </a:graphic>
          </wp:inline>
        </w:drawing>
      </w:r>
      <w:r>
        <w:rPr>
          <w:noProof/>
          <w:lang w:eastAsia="en-GB"/>
        </w:rPr>
        <mc:AlternateContent>
          <mc:Choice Requires="wps">
            <w:drawing>
              <wp:inline distT="0" distB="0" distL="0" distR="0" wp14:anchorId="3B55EEF2" wp14:editId="225AE6CA">
                <wp:extent cx="304800" cy="304800"/>
                <wp:effectExtent l="0" t="0" r="0" b="0"/>
                <wp:docPr id="2" name="AutoShape 2"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E46BC" id="AutoShape 2"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g8uAIAAMQFAAAOAAAAZHJzL2Uyb0RvYy54bWysVFtv2yAUfp+0/4B4d30pudiqU7VxPE3K&#10;tkrdfgCxsY1mgwckTlftv++AkzRpX6ZtPKDDOfCd28e5ud13LdoxpbkUKQ6vAoyYKGTJRZ3ib19z&#10;b46RNlSUtJWCpfiJaXy7eP/uZugTFslGtiVTCECEToY+xY0xfeL7umhYR/WV7JkAYyVVRw0cVe2X&#10;ig6A3rV+FARTf5Cq7JUsmNagzUYjXjj8qmKF+VJVmhnUphhiM25Xbt/Y3V/c0KRWtG94cQiD/kUU&#10;HeUCnJ6gMmoo2ir+BqrjhZJaVuaqkJ0vq4oXzOUA2YTBq2weG9ozlwsUR/enMun/B1t83j0oxMsU&#10;RxgJ2kGL7rZGOs8IVCXTBZRrLWtpazX0OoEnj/2Dstnqfi2L7xoJuWyoqNmd7qHiwAPAOqqUkkPD&#10;aAlBhxbCv8CwBw1oaDN8kiV4p+DdVXJfqc76gBqhvWvY06lhbG9QAcrrgMwDaGsBpoNsPdDk+LhX&#10;2nxgskNWSLGC6Bw43a21Ga8er1hfQua8bUFPk1ZcKABz1IBreGptNgjX4uc4iFfz1Zx4JJquPBJk&#10;mXeXL4k3zcPZJLvOlsss/GX9hiRpeFkyYd0c6RaSP2vngfgjUU6E07LlpYWzIWlVb5atQjsKdM/d&#10;ciUHy8s1/zIMVy/I5VVKYUSC+yj28ul85pGcTLx4Fsy9IIzv42lAYpLllymtuWD/nhIaUhxPoonr&#10;0lnQr3IL3HqbG006bmCgtLxLMVADlr1EE8vAlSidbChvR/msFDb8l1JAu4+Ndny1FB3Zv5HlE9BV&#10;SaATMA9GHwiNVD8xGmCMpFj/2FLFMGo/CqB8HBJi5447kMksgoM6t2zOLVQUAJVig9EoLs04q7a9&#10;4nUDnkJXGCHtJ624o7D9QmNUh88Fo8Jlchhrdhadn92tl+G7+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hSDg8uAIAAMQFAAAO&#10;AAAAAAAAAAAAAAAAAC4CAABkcnMvZTJvRG9jLnhtbFBLAQItABQABgAIAAAAIQBMoOks2AAAAAMB&#10;AAAPAAAAAAAAAAAAAAAAABIFAABkcnMvZG93bnJldi54bWxQSwUGAAAAAAQABADzAAAAFwYAAAAA&#10;" filled="f" stroked="f">
                <o:lock v:ext="edit" aspectratio="t"/>
                <w10:anchorlock/>
              </v:rect>
            </w:pict>
          </mc:Fallback>
        </mc:AlternateContent>
      </w:r>
      <w:r w:rsidRPr="007A05C3">
        <w:rPr>
          <w:noProof/>
          <w:lang w:eastAsia="zh-CN"/>
        </w:rPr>
        <w:t xml:space="preserve"> </w:t>
      </w:r>
      <w:r w:rsidR="007C087D">
        <w:rPr>
          <w:noProof/>
          <w:lang w:eastAsia="zh-CN"/>
        </w:rPr>
        <w:tab/>
      </w:r>
      <w:r w:rsidR="007C087D">
        <w:rPr>
          <w:noProof/>
          <w:lang w:eastAsia="zh-CN"/>
        </w:rPr>
        <w:tab/>
      </w:r>
      <w:r w:rsidR="007C087D">
        <w:rPr>
          <w:noProof/>
          <w:lang w:eastAsia="zh-CN"/>
        </w:rPr>
        <w:tab/>
      </w:r>
      <w:r w:rsidR="007C087D">
        <w:rPr>
          <w:noProof/>
          <w:lang w:eastAsia="zh-CN"/>
        </w:rPr>
        <w:tab/>
      </w:r>
      <w:r>
        <w:rPr>
          <w:noProof/>
          <w:lang w:eastAsia="en-GB"/>
        </w:rPr>
        <mc:AlternateContent>
          <mc:Choice Requires="wps">
            <w:drawing>
              <wp:inline distT="0" distB="0" distL="0" distR="0" wp14:anchorId="7B5A05A5" wp14:editId="6EA4BE06">
                <wp:extent cx="304800" cy="304800"/>
                <wp:effectExtent l="0" t="0" r="0" b="0"/>
                <wp:docPr id="3" name="AutoShape 3"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AB908" id="AutoShape 3"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BruQIAAMQFAAAOAAAAZHJzL2Uyb0RvYy54bWysVFtv2yAUfp+0/4B4d30pudiqU7VxPE3K&#10;tkrdfgCxsY1mgwckTlftv++AkzRpX6ZtPKDDOfCd28e5ud13LdoxpbkUKQ6vAoyYKGTJRZ3ib19z&#10;b46RNlSUtJWCpfiJaXy7eP/uZugTFslGtiVTCECEToY+xY0xfeL7umhYR/WV7JkAYyVVRw0cVe2X&#10;ig6A3rV+FARTf5Cq7JUsmNagzUYjXjj8qmKF+VJVmhnUphhiM25Xbt/Y3V/c0KRWtG94cQiD/kUU&#10;HeUCnJ6gMmoo2ir+BqrjhZJaVuaqkJ0vq4oXzOUA2YTBq2weG9ozlwsUR/enMun/B1t83j0oxMsU&#10;X2MkaActutsa6TwjUJVMF1CutaylrdXQ6wSePPYPymar+7Usvmsk5LKhomZ3uoeKAw8A66hSSg4N&#10;oyUEHVoI/wLDHjSgoc3wSZbgnYJ3V8l9pTrrA2qE9q5hT6eGsb1BBSivAzIPoK0FmA6y9UCT4+Ne&#10;afOByQ5ZIcUKonPgdLfWZrx6vGJ9CZnztgU9TVpxoQDMUQOu4am12SBci5/jIF7NV3PikWi68kiQ&#10;Zd5dviTeNA9nk+w6Wy6z8Jf1G5Kk4WXJhHVzpFtI/qydB+KPRDkRTsuWlxbOhqRVvVm2Cu0o0D13&#10;y5UcLC/X/MswXL0gl1cphREJ7qPYy6fzmUdyMvHiWTD3gjC+j6cBiUmWX6a05oL9e0poSHE8iSau&#10;S2dBv8otcOttbjTpuIGB0vIuxUANWPYSTSwDV6J0sqG8HeWzUtjwX0oB7T422vHVUnRk/0aWT0BX&#10;JYFOwDwYfSA0Uv3EaIAxkmL9Y0sVw6j9KIDycUiInTvuQCazCA7q3LI5t1BRAFSKDUajuDTjrNr2&#10;itcNeApdYYS0n7TijsL2C41RHT4XjAqXyWGs2Vl0fna3Xobv4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lkSAa7kCAADE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007C087D">
        <w:rPr>
          <w:noProof/>
          <w:lang w:eastAsia="en-GB"/>
        </w:rPr>
        <w:drawing>
          <wp:inline distT="0" distB="0" distL="0" distR="0" wp14:anchorId="04D0CB8A">
            <wp:extent cx="2527798" cy="74782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7655" cy="753697"/>
                    </a:xfrm>
                    <a:prstGeom prst="rect">
                      <a:avLst/>
                    </a:prstGeom>
                    <a:noFill/>
                  </pic:spPr>
                </pic:pic>
              </a:graphicData>
            </a:graphic>
          </wp:inline>
        </w:drawing>
      </w:r>
    </w:p>
    <w:p w:rsidR="007A05C3" w:rsidRPr="005226E5" w:rsidRDefault="007A05C3" w:rsidP="007A05C3">
      <w:pPr>
        <w:jc w:val="center"/>
        <w:rPr>
          <w:sz w:val="32"/>
          <w:szCs w:val="32"/>
        </w:rPr>
      </w:pPr>
      <w:r w:rsidRPr="005226E5">
        <w:rPr>
          <w:sz w:val="32"/>
          <w:szCs w:val="32"/>
        </w:rPr>
        <w:t>FutureLearn Academic Network</w:t>
      </w:r>
      <w:r w:rsidR="005226E5">
        <w:rPr>
          <w:sz w:val="32"/>
          <w:szCs w:val="32"/>
        </w:rPr>
        <w:t>,</w:t>
      </w:r>
      <w:r w:rsidRPr="005226E5">
        <w:rPr>
          <w:sz w:val="32"/>
          <w:szCs w:val="32"/>
        </w:rPr>
        <w:t xml:space="preserve"> University of Leeds</w:t>
      </w:r>
    </w:p>
    <w:p w:rsidR="007A05C3" w:rsidRDefault="007A05C3" w:rsidP="007A05C3">
      <w:pPr>
        <w:jc w:val="center"/>
        <w:rPr>
          <w:sz w:val="32"/>
          <w:szCs w:val="32"/>
        </w:rPr>
      </w:pPr>
      <w:r w:rsidRPr="005226E5">
        <w:rPr>
          <w:sz w:val="32"/>
          <w:szCs w:val="32"/>
        </w:rPr>
        <w:t>11</w:t>
      </w:r>
      <w:r w:rsidRPr="005226E5">
        <w:rPr>
          <w:sz w:val="32"/>
          <w:szCs w:val="32"/>
          <w:vertAlign w:val="superscript"/>
        </w:rPr>
        <w:t>th</w:t>
      </w:r>
      <w:r w:rsidRPr="005226E5">
        <w:rPr>
          <w:sz w:val="32"/>
          <w:szCs w:val="32"/>
        </w:rPr>
        <w:t xml:space="preserve"> September 2019</w:t>
      </w:r>
      <w:r w:rsidR="005226E5">
        <w:rPr>
          <w:sz w:val="32"/>
          <w:szCs w:val="32"/>
        </w:rPr>
        <w:t>,</w:t>
      </w:r>
      <w:r w:rsidRPr="005226E5">
        <w:rPr>
          <w:sz w:val="32"/>
          <w:szCs w:val="32"/>
        </w:rPr>
        <w:t xml:space="preserve"> 10am-4pm</w:t>
      </w:r>
    </w:p>
    <w:p w:rsidR="005C06E1" w:rsidRDefault="005C06E1" w:rsidP="007A05C3">
      <w:pPr>
        <w:jc w:val="center"/>
        <w:rPr>
          <w:sz w:val="32"/>
          <w:szCs w:val="32"/>
        </w:rPr>
      </w:pPr>
      <w:r>
        <w:rPr>
          <w:sz w:val="32"/>
          <w:szCs w:val="32"/>
        </w:rPr>
        <w:t>Twitter: #</w:t>
      </w:r>
      <w:proofErr w:type="spellStart"/>
      <w:r>
        <w:rPr>
          <w:sz w:val="32"/>
          <w:szCs w:val="32"/>
        </w:rPr>
        <w:t>LeedsFLAN</w:t>
      </w:r>
      <w:proofErr w:type="spellEnd"/>
    </w:p>
    <w:p w:rsidR="003E06F6" w:rsidRPr="005226E5" w:rsidRDefault="003E06F6" w:rsidP="007A05C3">
      <w:pPr>
        <w:jc w:val="center"/>
        <w:rPr>
          <w:sz w:val="32"/>
          <w:szCs w:val="32"/>
        </w:rPr>
      </w:pPr>
      <w:r>
        <w:rPr>
          <w:sz w:val="32"/>
          <w:szCs w:val="32"/>
        </w:rPr>
        <w:t xml:space="preserve">Remote access </w:t>
      </w:r>
      <w:hyperlink r:id="rId7" w:history="1">
        <w:r>
          <w:rPr>
            <w:rStyle w:val="Hyperlink"/>
          </w:rPr>
          <w:t>https://zoom.us/j/533351479</w:t>
        </w:r>
      </w:hyperlink>
    </w:p>
    <w:tbl>
      <w:tblPr>
        <w:tblStyle w:val="TableGrid"/>
        <w:tblW w:w="0" w:type="auto"/>
        <w:tblInd w:w="-714" w:type="dxa"/>
        <w:tblLook w:val="04A0" w:firstRow="1" w:lastRow="0" w:firstColumn="1" w:lastColumn="0" w:noHBand="0" w:noVBand="1"/>
      </w:tblPr>
      <w:tblGrid>
        <w:gridCol w:w="1985"/>
        <w:gridCol w:w="7745"/>
      </w:tblGrid>
      <w:tr w:rsidR="00681452" w:rsidTr="00327D2A">
        <w:trPr>
          <w:trHeight w:val="816"/>
        </w:trPr>
        <w:tc>
          <w:tcPr>
            <w:tcW w:w="1985" w:type="dxa"/>
          </w:tcPr>
          <w:p w:rsidR="00681452" w:rsidRPr="007A05C3" w:rsidRDefault="00681452" w:rsidP="00681452">
            <w:pPr>
              <w:rPr>
                <w:sz w:val="32"/>
                <w:szCs w:val="32"/>
              </w:rPr>
            </w:pPr>
            <w:r w:rsidRPr="007A05C3">
              <w:rPr>
                <w:sz w:val="32"/>
                <w:szCs w:val="32"/>
              </w:rPr>
              <w:t>10:00</w:t>
            </w:r>
          </w:p>
          <w:p w:rsidR="00681452" w:rsidRPr="007A05C3" w:rsidRDefault="00681452" w:rsidP="00681452">
            <w:pPr>
              <w:rPr>
                <w:sz w:val="32"/>
                <w:szCs w:val="32"/>
              </w:rPr>
            </w:pPr>
          </w:p>
        </w:tc>
        <w:tc>
          <w:tcPr>
            <w:tcW w:w="7745" w:type="dxa"/>
          </w:tcPr>
          <w:p w:rsidR="00681452" w:rsidRDefault="00681452" w:rsidP="00681452">
            <w:pPr>
              <w:rPr>
                <w:sz w:val="32"/>
                <w:szCs w:val="32"/>
              </w:rPr>
            </w:pPr>
            <w:r w:rsidRPr="007A05C3">
              <w:rPr>
                <w:sz w:val="32"/>
                <w:szCs w:val="32"/>
              </w:rPr>
              <w:t>Registration and refreshments</w:t>
            </w:r>
          </w:p>
          <w:p w:rsidR="00681452" w:rsidRPr="007A05C3" w:rsidRDefault="008F076B" w:rsidP="00327D2A">
            <w:pPr>
              <w:rPr>
                <w:sz w:val="32"/>
                <w:szCs w:val="32"/>
              </w:rPr>
            </w:pPr>
            <w:r w:rsidRPr="008F076B">
              <w:rPr>
                <w:b/>
                <w:bCs/>
                <w:i/>
                <w:iCs/>
                <w:sz w:val="32"/>
                <w:szCs w:val="32"/>
              </w:rPr>
              <w:t>Liberty building, LT LG06</w:t>
            </w:r>
            <w:r>
              <w:rPr>
                <w:b/>
                <w:bCs/>
                <w:i/>
                <w:iCs/>
                <w:sz w:val="32"/>
                <w:szCs w:val="32"/>
              </w:rPr>
              <w:t xml:space="preserve"> (until 11.30)</w:t>
            </w:r>
          </w:p>
        </w:tc>
      </w:tr>
      <w:tr w:rsidR="00681452" w:rsidTr="004118A9">
        <w:tc>
          <w:tcPr>
            <w:tcW w:w="1985" w:type="dxa"/>
          </w:tcPr>
          <w:p w:rsidR="00681452" w:rsidRPr="007A05C3" w:rsidRDefault="00681452" w:rsidP="00681452">
            <w:pPr>
              <w:rPr>
                <w:sz w:val="32"/>
                <w:szCs w:val="32"/>
              </w:rPr>
            </w:pPr>
            <w:r w:rsidRPr="007A05C3">
              <w:rPr>
                <w:sz w:val="32"/>
                <w:szCs w:val="32"/>
              </w:rPr>
              <w:t>10:15</w:t>
            </w:r>
          </w:p>
        </w:tc>
        <w:tc>
          <w:tcPr>
            <w:tcW w:w="7745" w:type="dxa"/>
          </w:tcPr>
          <w:p w:rsidR="00A830AE" w:rsidRPr="007A05C3" w:rsidRDefault="00681452" w:rsidP="00327D2A">
            <w:pPr>
              <w:rPr>
                <w:sz w:val="32"/>
                <w:szCs w:val="32"/>
              </w:rPr>
            </w:pPr>
            <w:r w:rsidRPr="007A05C3">
              <w:rPr>
                <w:sz w:val="32"/>
                <w:szCs w:val="32"/>
              </w:rPr>
              <w:t>Welcom</w:t>
            </w:r>
            <w:r w:rsidR="00C8604C">
              <w:rPr>
                <w:sz w:val="32"/>
                <w:szCs w:val="32"/>
              </w:rPr>
              <w:t xml:space="preserve">e from Sir Alan </w:t>
            </w:r>
            <w:proofErr w:type="spellStart"/>
            <w:r w:rsidR="00C8604C">
              <w:rPr>
                <w:sz w:val="32"/>
                <w:szCs w:val="32"/>
              </w:rPr>
              <w:t>Langlands</w:t>
            </w:r>
            <w:proofErr w:type="spellEnd"/>
            <w:r w:rsidR="00C8604C">
              <w:rPr>
                <w:sz w:val="32"/>
                <w:szCs w:val="32"/>
              </w:rPr>
              <w:t>, Vice</w:t>
            </w:r>
            <w:r w:rsidRPr="007A05C3">
              <w:rPr>
                <w:sz w:val="32"/>
                <w:szCs w:val="32"/>
              </w:rPr>
              <w:t>–Chancellor, University of Leeds</w:t>
            </w:r>
          </w:p>
        </w:tc>
      </w:tr>
      <w:tr w:rsidR="00681452" w:rsidTr="004118A9">
        <w:tc>
          <w:tcPr>
            <w:tcW w:w="1985" w:type="dxa"/>
          </w:tcPr>
          <w:p w:rsidR="00681452" w:rsidRPr="007A05C3" w:rsidRDefault="00681452" w:rsidP="00681452">
            <w:pPr>
              <w:rPr>
                <w:sz w:val="32"/>
                <w:szCs w:val="32"/>
              </w:rPr>
            </w:pPr>
            <w:r w:rsidRPr="007A05C3">
              <w:rPr>
                <w:sz w:val="32"/>
                <w:szCs w:val="32"/>
              </w:rPr>
              <w:t>10:30</w:t>
            </w:r>
            <w:r w:rsidR="004118A9">
              <w:rPr>
                <w:sz w:val="32"/>
                <w:szCs w:val="32"/>
              </w:rPr>
              <w:t>-11:30</w:t>
            </w:r>
          </w:p>
        </w:tc>
        <w:tc>
          <w:tcPr>
            <w:tcW w:w="7745" w:type="dxa"/>
          </w:tcPr>
          <w:p w:rsidR="00A830AE" w:rsidRDefault="00681452" w:rsidP="00327D2A">
            <w:pPr>
              <w:rPr>
                <w:sz w:val="32"/>
                <w:szCs w:val="32"/>
              </w:rPr>
            </w:pPr>
            <w:r w:rsidRPr="007A05C3">
              <w:rPr>
                <w:sz w:val="32"/>
                <w:szCs w:val="32"/>
              </w:rPr>
              <w:t xml:space="preserve">Keynote: Professor Neil Morris, Dean of Digital Education, Chair of </w:t>
            </w:r>
            <w:r w:rsidR="004653EF" w:rsidRPr="007A05C3">
              <w:rPr>
                <w:sz w:val="32"/>
                <w:szCs w:val="32"/>
              </w:rPr>
              <w:t>Educational Technology</w:t>
            </w:r>
          </w:p>
          <w:p w:rsidR="00E05B86" w:rsidRPr="00E05B86" w:rsidRDefault="00E05B86" w:rsidP="00E05B86">
            <w:pPr>
              <w:rPr>
                <w:i/>
                <w:sz w:val="24"/>
                <w:szCs w:val="24"/>
              </w:rPr>
            </w:pPr>
            <w:r w:rsidRPr="00E05B86">
              <w:rPr>
                <w:i/>
                <w:sz w:val="24"/>
                <w:szCs w:val="24"/>
              </w:rPr>
              <w:t>Exploring the changing nature of higher education: impacts on learners and learning</w:t>
            </w:r>
          </w:p>
          <w:p w:rsidR="00E05B86" w:rsidRPr="007A05C3" w:rsidRDefault="00E05B86" w:rsidP="00E05B86">
            <w:pPr>
              <w:rPr>
                <w:sz w:val="32"/>
                <w:szCs w:val="32"/>
              </w:rPr>
            </w:pPr>
          </w:p>
        </w:tc>
      </w:tr>
      <w:tr w:rsidR="00681452" w:rsidTr="004118A9">
        <w:tc>
          <w:tcPr>
            <w:tcW w:w="1985" w:type="dxa"/>
          </w:tcPr>
          <w:p w:rsidR="00681452" w:rsidRPr="007A05C3" w:rsidRDefault="00681452" w:rsidP="007A05C3">
            <w:pPr>
              <w:rPr>
                <w:sz w:val="32"/>
                <w:szCs w:val="32"/>
              </w:rPr>
            </w:pPr>
            <w:r w:rsidRPr="007A05C3">
              <w:rPr>
                <w:sz w:val="32"/>
                <w:szCs w:val="32"/>
              </w:rPr>
              <w:t xml:space="preserve">11:30 </w:t>
            </w:r>
          </w:p>
        </w:tc>
        <w:tc>
          <w:tcPr>
            <w:tcW w:w="7745" w:type="dxa"/>
          </w:tcPr>
          <w:p w:rsidR="00681452" w:rsidRDefault="007A05C3" w:rsidP="00681452">
            <w:pPr>
              <w:rPr>
                <w:sz w:val="32"/>
                <w:szCs w:val="32"/>
              </w:rPr>
            </w:pPr>
            <w:r>
              <w:rPr>
                <w:sz w:val="32"/>
                <w:szCs w:val="32"/>
              </w:rPr>
              <w:t>R</w:t>
            </w:r>
            <w:r w:rsidR="00681452" w:rsidRPr="007A05C3">
              <w:rPr>
                <w:sz w:val="32"/>
                <w:szCs w:val="32"/>
              </w:rPr>
              <w:t>efreshments</w:t>
            </w:r>
          </w:p>
          <w:p w:rsidR="008F076B" w:rsidRPr="008F076B" w:rsidRDefault="008F076B" w:rsidP="00681452">
            <w:pPr>
              <w:rPr>
                <w:b/>
                <w:bCs/>
                <w:i/>
                <w:iCs/>
                <w:sz w:val="32"/>
                <w:szCs w:val="32"/>
              </w:rPr>
            </w:pPr>
            <w:r w:rsidRPr="008F076B">
              <w:rPr>
                <w:b/>
                <w:bCs/>
                <w:i/>
                <w:iCs/>
                <w:sz w:val="32"/>
                <w:szCs w:val="32"/>
              </w:rPr>
              <w:t xml:space="preserve">Charles </w:t>
            </w:r>
            <w:proofErr w:type="spellStart"/>
            <w:r w:rsidRPr="008F076B">
              <w:rPr>
                <w:b/>
                <w:bCs/>
                <w:i/>
                <w:iCs/>
                <w:sz w:val="32"/>
                <w:szCs w:val="32"/>
              </w:rPr>
              <w:t>Thackrah</w:t>
            </w:r>
            <w:proofErr w:type="spellEnd"/>
            <w:r w:rsidRPr="008F076B">
              <w:rPr>
                <w:b/>
                <w:bCs/>
                <w:i/>
                <w:iCs/>
                <w:sz w:val="32"/>
                <w:szCs w:val="32"/>
              </w:rPr>
              <w:t xml:space="preserve"> G05</w:t>
            </w:r>
            <w:r>
              <w:rPr>
                <w:b/>
                <w:bCs/>
                <w:i/>
                <w:iCs/>
                <w:sz w:val="32"/>
                <w:szCs w:val="32"/>
              </w:rPr>
              <w:t xml:space="preserve"> (until close)</w:t>
            </w:r>
          </w:p>
        </w:tc>
      </w:tr>
      <w:tr w:rsidR="00681452" w:rsidTr="004118A9">
        <w:tc>
          <w:tcPr>
            <w:tcW w:w="1985" w:type="dxa"/>
          </w:tcPr>
          <w:p w:rsidR="00681452" w:rsidRPr="007A05C3" w:rsidRDefault="00681452" w:rsidP="00681452">
            <w:pPr>
              <w:rPr>
                <w:sz w:val="32"/>
                <w:szCs w:val="32"/>
              </w:rPr>
            </w:pPr>
            <w:r w:rsidRPr="007A05C3">
              <w:rPr>
                <w:sz w:val="32"/>
                <w:szCs w:val="32"/>
              </w:rPr>
              <w:t>11:45</w:t>
            </w:r>
            <w:r w:rsidR="004118A9">
              <w:rPr>
                <w:sz w:val="32"/>
                <w:szCs w:val="32"/>
              </w:rPr>
              <w:t>-12:45</w:t>
            </w:r>
          </w:p>
        </w:tc>
        <w:tc>
          <w:tcPr>
            <w:tcW w:w="7745" w:type="dxa"/>
          </w:tcPr>
          <w:p w:rsidR="00681452" w:rsidRDefault="005226E5" w:rsidP="007A05C3">
            <w:pPr>
              <w:rPr>
                <w:sz w:val="32"/>
                <w:szCs w:val="32"/>
              </w:rPr>
            </w:pPr>
            <w:r>
              <w:rPr>
                <w:sz w:val="32"/>
                <w:szCs w:val="32"/>
              </w:rPr>
              <w:t>James Pickering and Bronwen Swinnerton</w:t>
            </w:r>
          </w:p>
          <w:p w:rsidR="00B846CB" w:rsidRDefault="00B846CB" w:rsidP="004118A9">
            <w:pPr>
              <w:rPr>
                <w:i/>
                <w:iCs/>
                <w:sz w:val="24"/>
                <w:szCs w:val="24"/>
              </w:rPr>
            </w:pPr>
            <w:r w:rsidRPr="00B846CB">
              <w:rPr>
                <w:i/>
                <w:iCs/>
                <w:sz w:val="24"/>
                <w:szCs w:val="24"/>
              </w:rPr>
              <w:t>Medical Student Engagement with Technology-Enhanced Learning Resources</w:t>
            </w:r>
          </w:p>
          <w:p w:rsidR="00E05B86" w:rsidRDefault="00E05B86" w:rsidP="00AB7F10">
            <w:pPr>
              <w:rPr>
                <w:sz w:val="32"/>
                <w:szCs w:val="32"/>
              </w:rPr>
            </w:pPr>
          </w:p>
          <w:p w:rsidR="00E05B86" w:rsidRDefault="00327D2A" w:rsidP="00E05B86">
            <w:pPr>
              <w:rPr>
                <w:sz w:val="32"/>
                <w:szCs w:val="32"/>
              </w:rPr>
            </w:pPr>
            <w:r w:rsidRPr="00327D2A">
              <w:rPr>
                <w:sz w:val="32"/>
                <w:szCs w:val="32"/>
              </w:rPr>
              <w:t xml:space="preserve">Michael </w:t>
            </w:r>
            <w:proofErr w:type="spellStart"/>
            <w:r w:rsidRPr="00327D2A">
              <w:rPr>
                <w:sz w:val="32"/>
                <w:szCs w:val="32"/>
              </w:rPr>
              <w:t>Kilmister</w:t>
            </w:r>
            <w:proofErr w:type="spellEnd"/>
          </w:p>
          <w:p w:rsidR="00A830AE" w:rsidRPr="00E05B86" w:rsidRDefault="004118A9" w:rsidP="00E05B86">
            <w:pPr>
              <w:rPr>
                <w:i/>
                <w:iCs/>
                <w:sz w:val="24"/>
                <w:szCs w:val="24"/>
              </w:rPr>
            </w:pPr>
            <w:r w:rsidRPr="00E05B86">
              <w:rPr>
                <w:rFonts w:ascii="Calibri" w:eastAsia="Times New Roman" w:hAnsi="Calibri" w:cs="Calibri"/>
                <w:i/>
                <w:iCs/>
                <w:color w:val="000000"/>
                <w:sz w:val="24"/>
                <w:szCs w:val="24"/>
                <w:lang w:eastAsia="en-GB"/>
              </w:rPr>
              <w:t>Proposing an expansion of FutureLearn metrics for the prediction of student engagement</w:t>
            </w:r>
          </w:p>
        </w:tc>
      </w:tr>
      <w:tr w:rsidR="00681452" w:rsidTr="004118A9">
        <w:tc>
          <w:tcPr>
            <w:tcW w:w="1985" w:type="dxa"/>
          </w:tcPr>
          <w:p w:rsidR="00681452" w:rsidRPr="007A05C3" w:rsidRDefault="00A830AE" w:rsidP="004118A9">
            <w:pPr>
              <w:rPr>
                <w:sz w:val="32"/>
                <w:szCs w:val="32"/>
              </w:rPr>
            </w:pPr>
            <w:r>
              <w:rPr>
                <w:sz w:val="32"/>
                <w:szCs w:val="32"/>
              </w:rPr>
              <w:t>12:</w:t>
            </w:r>
            <w:r w:rsidR="004118A9">
              <w:rPr>
                <w:sz w:val="32"/>
                <w:szCs w:val="32"/>
              </w:rPr>
              <w:t>45</w:t>
            </w:r>
            <w:r>
              <w:rPr>
                <w:sz w:val="32"/>
                <w:szCs w:val="32"/>
              </w:rPr>
              <w:t>-1:</w:t>
            </w:r>
            <w:r w:rsidR="004118A9">
              <w:rPr>
                <w:sz w:val="32"/>
                <w:szCs w:val="32"/>
              </w:rPr>
              <w:t>30</w:t>
            </w:r>
          </w:p>
        </w:tc>
        <w:tc>
          <w:tcPr>
            <w:tcW w:w="7745" w:type="dxa"/>
          </w:tcPr>
          <w:p w:rsidR="00681452" w:rsidRPr="007A05C3" w:rsidRDefault="00681452" w:rsidP="00681452">
            <w:pPr>
              <w:rPr>
                <w:sz w:val="32"/>
                <w:szCs w:val="32"/>
              </w:rPr>
            </w:pPr>
            <w:r w:rsidRPr="007A05C3">
              <w:rPr>
                <w:sz w:val="32"/>
                <w:szCs w:val="32"/>
              </w:rPr>
              <w:t>Lunch</w:t>
            </w:r>
          </w:p>
        </w:tc>
      </w:tr>
      <w:tr w:rsidR="00681452" w:rsidTr="004118A9">
        <w:tc>
          <w:tcPr>
            <w:tcW w:w="1985" w:type="dxa"/>
          </w:tcPr>
          <w:p w:rsidR="00681452" w:rsidRPr="007A05C3" w:rsidRDefault="00681452" w:rsidP="007C359D">
            <w:pPr>
              <w:rPr>
                <w:sz w:val="32"/>
                <w:szCs w:val="32"/>
              </w:rPr>
            </w:pPr>
            <w:r w:rsidRPr="007A05C3">
              <w:rPr>
                <w:sz w:val="32"/>
                <w:szCs w:val="32"/>
              </w:rPr>
              <w:t>1:</w:t>
            </w:r>
            <w:r w:rsidR="004118A9">
              <w:rPr>
                <w:sz w:val="32"/>
                <w:szCs w:val="32"/>
              </w:rPr>
              <w:t>30</w:t>
            </w:r>
            <w:r w:rsidRPr="007A05C3">
              <w:rPr>
                <w:sz w:val="32"/>
                <w:szCs w:val="32"/>
              </w:rPr>
              <w:t>-2</w:t>
            </w:r>
            <w:r w:rsidR="00A830AE">
              <w:rPr>
                <w:sz w:val="32"/>
                <w:szCs w:val="32"/>
              </w:rPr>
              <w:t>:</w:t>
            </w:r>
            <w:r w:rsidR="007C359D">
              <w:rPr>
                <w:sz w:val="32"/>
                <w:szCs w:val="32"/>
              </w:rPr>
              <w:t>2</w:t>
            </w:r>
            <w:r w:rsidR="004118A9">
              <w:rPr>
                <w:sz w:val="32"/>
                <w:szCs w:val="32"/>
              </w:rPr>
              <w:t>0</w:t>
            </w:r>
          </w:p>
        </w:tc>
        <w:tc>
          <w:tcPr>
            <w:tcW w:w="7745" w:type="dxa"/>
          </w:tcPr>
          <w:p w:rsidR="00A830AE" w:rsidRPr="007A05C3" w:rsidRDefault="008F076B" w:rsidP="008F076B">
            <w:pPr>
              <w:rPr>
                <w:sz w:val="32"/>
                <w:szCs w:val="32"/>
              </w:rPr>
            </w:pPr>
            <w:r>
              <w:rPr>
                <w:sz w:val="32"/>
                <w:szCs w:val="32"/>
              </w:rPr>
              <w:t>At table/online collaborative discussion</w:t>
            </w:r>
          </w:p>
        </w:tc>
      </w:tr>
      <w:tr w:rsidR="007A05C3" w:rsidTr="004118A9">
        <w:tc>
          <w:tcPr>
            <w:tcW w:w="1985" w:type="dxa"/>
          </w:tcPr>
          <w:p w:rsidR="007A05C3" w:rsidRPr="007A05C3" w:rsidRDefault="00A830AE" w:rsidP="007C359D">
            <w:pPr>
              <w:rPr>
                <w:sz w:val="32"/>
                <w:szCs w:val="32"/>
              </w:rPr>
            </w:pPr>
            <w:r>
              <w:rPr>
                <w:sz w:val="32"/>
                <w:szCs w:val="32"/>
              </w:rPr>
              <w:t>2:</w:t>
            </w:r>
            <w:r w:rsidR="007C359D">
              <w:rPr>
                <w:sz w:val="32"/>
                <w:szCs w:val="32"/>
              </w:rPr>
              <w:t>2</w:t>
            </w:r>
            <w:r w:rsidR="004118A9">
              <w:rPr>
                <w:sz w:val="32"/>
                <w:szCs w:val="32"/>
              </w:rPr>
              <w:t>0</w:t>
            </w:r>
            <w:r w:rsidR="007A05C3">
              <w:rPr>
                <w:sz w:val="32"/>
                <w:szCs w:val="32"/>
              </w:rPr>
              <w:t>-</w:t>
            </w:r>
            <w:r w:rsidR="007C359D">
              <w:rPr>
                <w:sz w:val="32"/>
                <w:szCs w:val="32"/>
              </w:rPr>
              <w:t>2:50</w:t>
            </w:r>
          </w:p>
        </w:tc>
        <w:tc>
          <w:tcPr>
            <w:tcW w:w="7745" w:type="dxa"/>
          </w:tcPr>
          <w:p w:rsidR="007A05C3" w:rsidRDefault="007A05C3" w:rsidP="007A05C3">
            <w:pPr>
              <w:rPr>
                <w:sz w:val="32"/>
                <w:szCs w:val="32"/>
              </w:rPr>
            </w:pPr>
            <w:r w:rsidRPr="007A05C3">
              <w:rPr>
                <w:sz w:val="32"/>
                <w:szCs w:val="32"/>
              </w:rPr>
              <w:t xml:space="preserve">Fereshte </w:t>
            </w:r>
            <w:r>
              <w:rPr>
                <w:sz w:val="32"/>
                <w:szCs w:val="32"/>
              </w:rPr>
              <w:t xml:space="preserve">Goshtasbpour </w:t>
            </w:r>
          </w:p>
          <w:p w:rsidR="00A830AE" w:rsidRPr="005226E5" w:rsidRDefault="007A05C3" w:rsidP="008F076B">
            <w:pPr>
              <w:rPr>
                <w:i/>
                <w:iCs/>
                <w:sz w:val="24"/>
                <w:szCs w:val="24"/>
              </w:rPr>
            </w:pPr>
            <w:r w:rsidRPr="005226E5">
              <w:rPr>
                <w:i/>
                <w:iCs/>
                <w:sz w:val="24"/>
                <w:szCs w:val="24"/>
              </w:rPr>
              <w:t>Do watercooler conversations with instructors in FutureLearn MOOCs help learning?</w:t>
            </w:r>
          </w:p>
        </w:tc>
      </w:tr>
      <w:tr w:rsidR="007C359D" w:rsidTr="004118A9">
        <w:tc>
          <w:tcPr>
            <w:tcW w:w="1985" w:type="dxa"/>
          </w:tcPr>
          <w:p w:rsidR="007C359D" w:rsidRDefault="007C359D" w:rsidP="00681452">
            <w:pPr>
              <w:rPr>
                <w:sz w:val="32"/>
                <w:szCs w:val="32"/>
              </w:rPr>
            </w:pPr>
            <w:r>
              <w:rPr>
                <w:sz w:val="32"/>
                <w:szCs w:val="32"/>
              </w:rPr>
              <w:t>2:50-3:00</w:t>
            </w:r>
          </w:p>
        </w:tc>
        <w:tc>
          <w:tcPr>
            <w:tcW w:w="7745" w:type="dxa"/>
          </w:tcPr>
          <w:p w:rsidR="007C359D" w:rsidRDefault="007C359D" w:rsidP="00681452">
            <w:pPr>
              <w:rPr>
                <w:sz w:val="32"/>
                <w:szCs w:val="32"/>
              </w:rPr>
            </w:pPr>
            <w:r>
              <w:rPr>
                <w:sz w:val="32"/>
                <w:szCs w:val="32"/>
              </w:rPr>
              <w:t>Refreshments</w:t>
            </w:r>
          </w:p>
        </w:tc>
      </w:tr>
      <w:tr w:rsidR="005226E5" w:rsidTr="004118A9">
        <w:tc>
          <w:tcPr>
            <w:tcW w:w="1985" w:type="dxa"/>
          </w:tcPr>
          <w:p w:rsidR="005226E5" w:rsidRDefault="004118A9" w:rsidP="00681452">
            <w:pPr>
              <w:rPr>
                <w:sz w:val="32"/>
                <w:szCs w:val="32"/>
              </w:rPr>
            </w:pPr>
            <w:r>
              <w:rPr>
                <w:sz w:val="32"/>
                <w:szCs w:val="32"/>
              </w:rPr>
              <w:t>3:00-3:30</w:t>
            </w:r>
          </w:p>
        </w:tc>
        <w:tc>
          <w:tcPr>
            <w:tcW w:w="7745" w:type="dxa"/>
          </w:tcPr>
          <w:p w:rsidR="005226E5" w:rsidRDefault="005226E5" w:rsidP="00681452">
            <w:pPr>
              <w:rPr>
                <w:sz w:val="32"/>
                <w:szCs w:val="32"/>
              </w:rPr>
            </w:pPr>
            <w:proofErr w:type="spellStart"/>
            <w:r>
              <w:rPr>
                <w:sz w:val="32"/>
                <w:szCs w:val="32"/>
              </w:rPr>
              <w:t>Janesh</w:t>
            </w:r>
            <w:proofErr w:type="spellEnd"/>
            <w:r>
              <w:rPr>
                <w:sz w:val="32"/>
                <w:szCs w:val="32"/>
              </w:rPr>
              <w:t xml:space="preserve"> </w:t>
            </w:r>
            <w:proofErr w:type="spellStart"/>
            <w:r>
              <w:rPr>
                <w:sz w:val="32"/>
                <w:szCs w:val="32"/>
              </w:rPr>
              <w:t>Sanzgiri</w:t>
            </w:r>
            <w:proofErr w:type="spellEnd"/>
          </w:p>
          <w:p w:rsidR="00A830AE" w:rsidRPr="005226E5" w:rsidRDefault="004A39C2" w:rsidP="00681452">
            <w:pPr>
              <w:rPr>
                <w:i/>
                <w:iCs/>
                <w:sz w:val="24"/>
                <w:szCs w:val="24"/>
              </w:rPr>
            </w:pPr>
            <w:r w:rsidRPr="004A39C2">
              <w:rPr>
                <w:i/>
                <w:iCs/>
                <w:sz w:val="24"/>
                <w:szCs w:val="24"/>
              </w:rPr>
              <w:t>FutureLearn and Indian MOOC platforms - Differences in Monetisation, Accreditation and Learner Experiences</w:t>
            </w:r>
          </w:p>
        </w:tc>
      </w:tr>
      <w:tr w:rsidR="00681452" w:rsidTr="004118A9">
        <w:tc>
          <w:tcPr>
            <w:tcW w:w="1985" w:type="dxa"/>
          </w:tcPr>
          <w:p w:rsidR="00681452" w:rsidRPr="007A05C3" w:rsidRDefault="00A830AE" w:rsidP="004118A9">
            <w:pPr>
              <w:rPr>
                <w:sz w:val="32"/>
                <w:szCs w:val="32"/>
              </w:rPr>
            </w:pPr>
            <w:r>
              <w:rPr>
                <w:sz w:val="32"/>
                <w:szCs w:val="32"/>
              </w:rPr>
              <w:t>3:</w:t>
            </w:r>
            <w:r w:rsidR="004118A9">
              <w:rPr>
                <w:sz w:val="32"/>
                <w:szCs w:val="32"/>
              </w:rPr>
              <w:t>3</w:t>
            </w:r>
            <w:r>
              <w:rPr>
                <w:sz w:val="32"/>
                <w:szCs w:val="32"/>
              </w:rPr>
              <w:t>0-</w:t>
            </w:r>
            <w:r w:rsidR="004118A9">
              <w:rPr>
                <w:sz w:val="32"/>
                <w:szCs w:val="32"/>
              </w:rPr>
              <w:t>4:0</w:t>
            </w:r>
            <w:r>
              <w:rPr>
                <w:sz w:val="32"/>
                <w:szCs w:val="32"/>
              </w:rPr>
              <w:t>0</w:t>
            </w:r>
          </w:p>
        </w:tc>
        <w:tc>
          <w:tcPr>
            <w:tcW w:w="7745" w:type="dxa"/>
          </w:tcPr>
          <w:p w:rsidR="00681452" w:rsidRDefault="00681452" w:rsidP="00681452">
            <w:pPr>
              <w:rPr>
                <w:sz w:val="32"/>
                <w:szCs w:val="32"/>
              </w:rPr>
            </w:pPr>
            <w:r w:rsidRPr="007A05C3">
              <w:rPr>
                <w:sz w:val="32"/>
                <w:szCs w:val="32"/>
              </w:rPr>
              <w:t>Jonathan Pitches</w:t>
            </w:r>
          </w:p>
          <w:p w:rsidR="00A830AE" w:rsidRPr="005226E5" w:rsidRDefault="005A378E" w:rsidP="00681452">
            <w:pPr>
              <w:rPr>
                <w:i/>
                <w:iCs/>
                <w:sz w:val="24"/>
                <w:szCs w:val="24"/>
              </w:rPr>
            </w:pPr>
            <w:r w:rsidRPr="005A378E">
              <w:rPr>
                <w:i/>
                <w:iCs/>
                <w:sz w:val="24"/>
                <w:szCs w:val="24"/>
              </w:rPr>
              <w:t xml:space="preserve">Research Impact and MOOCs – what contribution can digital education make to the REF impact agenda? </w:t>
            </w:r>
          </w:p>
        </w:tc>
      </w:tr>
      <w:tr w:rsidR="00A830AE" w:rsidTr="004118A9">
        <w:tc>
          <w:tcPr>
            <w:tcW w:w="1985" w:type="dxa"/>
          </w:tcPr>
          <w:p w:rsidR="00A830AE" w:rsidRDefault="00A830AE" w:rsidP="00681452">
            <w:pPr>
              <w:rPr>
                <w:sz w:val="32"/>
                <w:szCs w:val="32"/>
              </w:rPr>
            </w:pPr>
            <w:r>
              <w:rPr>
                <w:sz w:val="32"/>
                <w:szCs w:val="32"/>
              </w:rPr>
              <w:t>4:00</w:t>
            </w:r>
          </w:p>
        </w:tc>
        <w:tc>
          <w:tcPr>
            <w:tcW w:w="7745" w:type="dxa"/>
          </w:tcPr>
          <w:p w:rsidR="00A830AE" w:rsidRPr="007A05C3" w:rsidRDefault="00A830AE" w:rsidP="00681452">
            <w:pPr>
              <w:rPr>
                <w:sz w:val="32"/>
                <w:szCs w:val="32"/>
              </w:rPr>
            </w:pPr>
            <w:r>
              <w:rPr>
                <w:sz w:val="32"/>
                <w:szCs w:val="32"/>
              </w:rPr>
              <w:t>Close</w:t>
            </w:r>
          </w:p>
        </w:tc>
      </w:tr>
    </w:tbl>
    <w:p w:rsidR="00BE0329" w:rsidRDefault="00327D2A" w:rsidP="004F398B">
      <w:pPr>
        <w:rPr>
          <w:sz w:val="28"/>
          <w:szCs w:val="28"/>
        </w:rPr>
      </w:pPr>
      <w:r w:rsidRPr="00327D2A">
        <w:rPr>
          <w:sz w:val="28"/>
          <w:szCs w:val="28"/>
        </w:rPr>
        <w:lastRenderedPageBreak/>
        <w:t>Abstracts</w:t>
      </w:r>
    </w:p>
    <w:p w:rsidR="00327D2A" w:rsidRDefault="00327D2A" w:rsidP="00327D2A">
      <w:pPr>
        <w:rPr>
          <w:sz w:val="32"/>
          <w:szCs w:val="32"/>
        </w:rPr>
      </w:pPr>
      <w:r>
        <w:rPr>
          <w:sz w:val="32"/>
          <w:szCs w:val="32"/>
        </w:rPr>
        <w:t>James Pickering and Bronwen Swinnerton</w:t>
      </w:r>
      <w:r w:rsidR="00F84770">
        <w:rPr>
          <w:sz w:val="32"/>
          <w:szCs w:val="32"/>
        </w:rPr>
        <w:t xml:space="preserve"> (University of Leeds)</w:t>
      </w:r>
    </w:p>
    <w:p w:rsidR="00327D2A" w:rsidRDefault="00327D2A" w:rsidP="00327D2A">
      <w:pPr>
        <w:rPr>
          <w:i/>
          <w:iCs/>
          <w:sz w:val="24"/>
          <w:szCs w:val="24"/>
        </w:rPr>
      </w:pPr>
      <w:r w:rsidRPr="00B846CB">
        <w:rPr>
          <w:i/>
          <w:iCs/>
          <w:sz w:val="24"/>
          <w:szCs w:val="24"/>
        </w:rPr>
        <w:t>Medical Student Engagement with Technology-Enhanced Learning Resources</w:t>
      </w:r>
    </w:p>
    <w:p w:rsidR="00000000" w:rsidRPr="00F84770" w:rsidRDefault="001654D0" w:rsidP="00F84770">
      <w:pPr>
        <w:rPr>
          <w:iCs/>
          <w:sz w:val="24"/>
          <w:szCs w:val="24"/>
        </w:rPr>
      </w:pPr>
      <w:r w:rsidRPr="00F84770">
        <w:rPr>
          <w:iCs/>
          <w:sz w:val="24"/>
          <w:szCs w:val="24"/>
        </w:rPr>
        <w:t xml:space="preserve">This presentation will report the findings from two related studies and </w:t>
      </w:r>
      <w:r w:rsidR="00F84770">
        <w:rPr>
          <w:iCs/>
          <w:sz w:val="24"/>
          <w:szCs w:val="24"/>
        </w:rPr>
        <w:t>introduce a</w:t>
      </w:r>
      <w:r w:rsidRPr="00F84770">
        <w:rPr>
          <w:iCs/>
          <w:sz w:val="24"/>
          <w:szCs w:val="24"/>
        </w:rPr>
        <w:t xml:space="preserve"> third study. Students in the first year of their </w:t>
      </w:r>
      <w:proofErr w:type="spellStart"/>
      <w:r w:rsidR="00F84770" w:rsidRPr="00F84770">
        <w:rPr>
          <w:iCs/>
          <w:sz w:val="24"/>
          <w:szCs w:val="24"/>
        </w:rPr>
        <w:t>MBChB</w:t>
      </w:r>
      <w:proofErr w:type="spellEnd"/>
      <w:r w:rsidR="00F84770" w:rsidRPr="00F84770">
        <w:rPr>
          <w:iCs/>
          <w:sz w:val="24"/>
          <w:szCs w:val="24"/>
        </w:rPr>
        <w:t xml:space="preserve"> (Medical degree) at the University of Leeds, as part of the </w:t>
      </w:r>
      <w:r w:rsidR="00F84770" w:rsidRPr="00F84770">
        <w:rPr>
          <w:iCs/>
          <w:sz w:val="24"/>
          <w:szCs w:val="24"/>
          <w:lang w:val="en-US"/>
        </w:rPr>
        <w:t xml:space="preserve">compulsory 13-week </w:t>
      </w:r>
      <w:r w:rsidR="000D48CD" w:rsidRPr="00F84770">
        <w:rPr>
          <w:iCs/>
          <w:sz w:val="24"/>
          <w:szCs w:val="24"/>
          <w:lang w:val="en-US"/>
        </w:rPr>
        <w:t>Body Systems module;</w:t>
      </w:r>
      <w:r w:rsidR="00F84770" w:rsidRPr="00F84770">
        <w:rPr>
          <w:iCs/>
          <w:sz w:val="24"/>
          <w:szCs w:val="24"/>
          <w:lang w:val="en-US"/>
        </w:rPr>
        <w:t xml:space="preserve"> are provided with three types of TEL resource: Screencasts via YouTube</w:t>
      </w:r>
      <w:r w:rsidR="00F84770">
        <w:rPr>
          <w:iCs/>
          <w:sz w:val="24"/>
          <w:szCs w:val="24"/>
          <w:lang w:val="en-US"/>
        </w:rPr>
        <w:t>,</w:t>
      </w:r>
      <w:r w:rsidR="00F84770" w:rsidRPr="00F84770">
        <w:rPr>
          <w:iCs/>
          <w:sz w:val="24"/>
          <w:szCs w:val="24"/>
          <w:lang w:val="en-US"/>
        </w:rPr>
        <w:t xml:space="preserve"> an EBook and the Anatomy MOOC on the FutureLearn platform. We will report usage of these resources, how usage relates to engagement, and performance. Finally we will describe our current study which is exploring why students use these TEL resources. In all three studies we explore the use of the MOOC compared to the other two types of resource.</w:t>
      </w:r>
    </w:p>
    <w:p w:rsidR="00F84770" w:rsidRDefault="00F84770" w:rsidP="00327D2A">
      <w:pPr>
        <w:rPr>
          <w:sz w:val="32"/>
          <w:szCs w:val="32"/>
        </w:rPr>
      </w:pPr>
    </w:p>
    <w:p w:rsidR="00327D2A" w:rsidRDefault="00327D2A" w:rsidP="00327D2A">
      <w:pPr>
        <w:rPr>
          <w:sz w:val="32"/>
          <w:szCs w:val="32"/>
        </w:rPr>
      </w:pPr>
      <w:r w:rsidRPr="007A05C3">
        <w:rPr>
          <w:sz w:val="32"/>
          <w:szCs w:val="32"/>
        </w:rPr>
        <w:t xml:space="preserve">Michael </w:t>
      </w:r>
      <w:proofErr w:type="spellStart"/>
      <w:r w:rsidRPr="007A05C3">
        <w:rPr>
          <w:sz w:val="32"/>
          <w:szCs w:val="32"/>
        </w:rPr>
        <w:t>Kilmister</w:t>
      </w:r>
      <w:proofErr w:type="spellEnd"/>
      <w:r>
        <w:rPr>
          <w:sz w:val="32"/>
          <w:szCs w:val="32"/>
        </w:rPr>
        <w:t xml:space="preserve">, Paul McDonald, Andrew </w:t>
      </w:r>
      <w:proofErr w:type="spellStart"/>
      <w:r>
        <w:rPr>
          <w:sz w:val="32"/>
          <w:szCs w:val="32"/>
        </w:rPr>
        <w:t>Yardy</w:t>
      </w:r>
      <w:proofErr w:type="spellEnd"/>
      <w:r>
        <w:rPr>
          <w:sz w:val="32"/>
          <w:szCs w:val="32"/>
        </w:rPr>
        <w:t>, Dr Clare Lloyd</w:t>
      </w:r>
      <w:r w:rsidR="00F84770">
        <w:rPr>
          <w:sz w:val="32"/>
          <w:szCs w:val="32"/>
        </w:rPr>
        <w:t xml:space="preserve"> (University of Newcastle, Australia)</w:t>
      </w:r>
    </w:p>
    <w:p w:rsidR="00327D2A" w:rsidRDefault="00327D2A" w:rsidP="00327D2A">
      <w:pPr>
        <w:rPr>
          <w:rFonts w:ascii="Calibri" w:eastAsia="Times New Roman" w:hAnsi="Calibri" w:cs="Calibri"/>
          <w:i/>
          <w:iCs/>
          <w:color w:val="000000"/>
          <w:lang w:eastAsia="en-GB"/>
        </w:rPr>
      </w:pPr>
      <w:r>
        <w:rPr>
          <w:rFonts w:ascii="Calibri" w:eastAsia="Times New Roman" w:hAnsi="Calibri" w:cs="Calibri"/>
          <w:i/>
          <w:iCs/>
          <w:color w:val="000000"/>
          <w:lang w:eastAsia="en-GB"/>
        </w:rPr>
        <w:t>Proposing an expansion of FutureLearn metrics for the prediction of student engagement</w:t>
      </w:r>
    </w:p>
    <w:p w:rsidR="00327D2A" w:rsidRDefault="00327D2A" w:rsidP="00327D2A">
      <w:pPr>
        <w:pStyle w:val="NormalWeb"/>
      </w:pPr>
      <w:r>
        <w:rPr>
          <w:rFonts w:ascii="Calibri" w:hAnsi="Calibri"/>
          <w:color w:val="000000"/>
        </w:rPr>
        <w:t>Currently, FutureLearn metrics are restricted to summary statistics which provide, typically in the form of overall percentages, some insight into student engagement with content. Whilst this type of data allows for the recognition of descriptive trends, it lacks suitability for meaningful comparison and prediction via statistical analysis. The authors discuss challenges associated with their recent investigation into the viewing habits of undergraduate students at the University of Newcastle, proposing a need for individualised metrics. The capacity to account for individual variables, such as age and gender, in the prediction of engagement would increase substantially the capacity to understand and improve the student experience.</w:t>
      </w:r>
    </w:p>
    <w:p w:rsidR="00327D2A" w:rsidRDefault="00327D2A" w:rsidP="00327D2A">
      <w:pPr>
        <w:pStyle w:val="NormalWeb"/>
      </w:pPr>
      <w:r>
        <w:rPr>
          <w:rFonts w:ascii="Calibri" w:hAnsi="Calibri"/>
          <w:color w:val="000000"/>
        </w:rPr>
        <w:t> </w:t>
      </w:r>
    </w:p>
    <w:p w:rsidR="00327D2A" w:rsidRDefault="00327D2A" w:rsidP="00327D2A">
      <w:pPr>
        <w:pStyle w:val="NormalWeb"/>
      </w:pPr>
      <w:r>
        <w:rPr>
          <w:rFonts w:ascii="Calibri" w:hAnsi="Calibri"/>
          <w:color w:val="000000"/>
        </w:rPr>
        <w:t xml:space="preserve">Authors: Dr Michael </w:t>
      </w:r>
      <w:proofErr w:type="spellStart"/>
      <w:r>
        <w:rPr>
          <w:rFonts w:ascii="Calibri" w:hAnsi="Calibri"/>
          <w:color w:val="000000"/>
        </w:rPr>
        <w:t>Kilmister</w:t>
      </w:r>
      <w:proofErr w:type="spellEnd"/>
      <w:r>
        <w:rPr>
          <w:rFonts w:ascii="Calibri" w:hAnsi="Calibri"/>
          <w:color w:val="000000"/>
        </w:rPr>
        <w:t xml:space="preserve">, Paul McDonald, Andrew </w:t>
      </w:r>
      <w:proofErr w:type="spellStart"/>
      <w:r>
        <w:rPr>
          <w:rFonts w:ascii="Calibri" w:hAnsi="Calibri"/>
          <w:color w:val="000000"/>
        </w:rPr>
        <w:t>Yardy</w:t>
      </w:r>
      <w:proofErr w:type="spellEnd"/>
      <w:r>
        <w:rPr>
          <w:rFonts w:ascii="Calibri" w:hAnsi="Calibri"/>
          <w:color w:val="000000"/>
        </w:rPr>
        <w:t>, Dr Clare Lloyd</w:t>
      </w:r>
    </w:p>
    <w:p w:rsidR="00327D2A" w:rsidRDefault="00327D2A" w:rsidP="00327D2A">
      <w:pPr>
        <w:rPr>
          <w:rFonts w:ascii="Calibri" w:eastAsia="Times New Roman" w:hAnsi="Calibri" w:cs="Calibri"/>
          <w:i/>
          <w:iCs/>
          <w:color w:val="000000"/>
          <w:lang w:eastAsia="en-GB"/>
        </w:rPr>
      </w:pPr>
    </w:p>
    <w:p w:rsidR="00327D2A" w:rsidRDefault="00327D2A" w:rsidP="00327D2A">
      <w:pPr>
        <w:rPr>
          <w:sz w:val="32"/>
          <w:szCs w:val="32"/>
        </w:rPr>
      </w:pPr>
      <w:r w:rsidRPr="007A05C3">
        <w:rPr>
          <w:sz w:val="32"/>
          <w:szCs w:val="32"/>
        </w:rPr>
        <w:t xml:space="preserve">Fereshte </w:t>
      </w:r>
      <w:r>
        <w:rPr>
          <w:sz w:val="32"/>
          <w:szCs w:val="32"/>
        </w:rPr>
        <w:t>Goshtasbpour</w:t>
      </w:r>
      <w:r w:rsidR="00F84770">
        <w:rPr>
          <w:sz w:val="32"/>
          <w:szCs w:val="32"/>
        </w:rPr>
        <w:t xml:space="preserve"> (University of Leeds)</w:t>
      </w:r>
    </w:p>
    <w:p w:rsidR="00327D2A" w:rsidRPr="00F84770" w:rsidRDefault="00327D2A" w:rsidP="00327D2A">
      <w:pPr>
        <w:rPr>
          <w:i/>
          <w:iCs/>
          <w:sz w:val="24"/>
          <w:szCs w:val="24"/>
        </w:rPr>
      </w:pPr>
      <w:r w:rsidRPr="00F84770">
        <w:rPr>
          <w:i/>
          <w:iCs/>
          <w:sz w:val="24"/>
          <w:szCs w:val="24"/>
        </w:rPr>
        <w:t>Do watercooler conversations with instructors in FutureLearn MOOCs help learning?</w:t>
      </w:r>
    </w:p>
    <w:p w:rsidR="001654D0" w:rsidRPr="00F84770" w:rsidRDefault="001654D0" w:rsidP="001654D0">
      <w:pPr>
        <w:jc w:val="both"/>
        <w:rPr>
          <w:sz w:val="24"/>
          <w:szCs w:val="24"/>
        </w:rPr>
      </w:pPr>
      <w:r w:rsidRPr="00F84770">
        <w:rPr>
          <w:sz w:val="24"/>
          <w:szCs w:val="24"/>
        </w:rPr>
        <w:t xml:space="preserve">This presentation will present the findings of a doctoral study on instructors’ contributions to the discussions of FutureLearn MOOCs. It will specifically discuss the reasons that inhibit instructors’ contributions to foster deep learning. Drawing on the Community of Inquiry framework, it will explain why instructors’ social, pedagogical and cognitive contributions only encourage surface learning and what modifications to instructor activities are required to support deep learning in MOOCs. </w:t>
      </w:r>
    </w:p>
    <w:p w:rsidR="001654D0" w:rsidRDefault="001654D0" w:rsidP="00327D2A">
      <w:pPr>
        <w:rPr>
          <w:i/>
          <w:iCs/>
          <w:sz w:val="24"/>
          <w:szCs w:val="24"/>
        </w:rPr>
      </w:pPr>
    </w:p>
    <w:p w:rsidR="000D48CD" w:rsidRDefault="000D48CD">
      <w:pPr>
        <w:rPr>
          <w:sz w:val="32"/>
          <w:szCs w:val="32"/>
        </w:rPr>
      </w:pPr>
      <w:r>
        <w:rPr>
          <w:sz w:val="32"/>
          <w:szCs w:val="32"/>
        </w:rPr>
        <w:br w:type="page"/>
      </w:r>
    </w:p>
    <w:p w:rsidR="00327D2A" w:rsidRDefault="00327D2A" w:rsidP="00327D2A">
      <w:pPr>
        <w:rPr>
          <w:sz w:val="32"/>
          <w:szCs w:val="32"/>
        </w:rPr>
      </w:pPr>
      <w:bookmarkStart w:id="0" w:name="_GoBack"/>
      <w:bookmarkEnd w:id="0"/>
      <w:proofErr w:type="spellStart"/>
      <w:r>
        <w:rPr>
          <w:sz w:val="32"/>
          <w:szCs w:val="32"/>
        </w:rPr>
        <w:lastRenderedPageBreak/>
        <w:t>Janesh</w:t>
      </w:r>
      <w:proofErr w:type="spellEnd"/>
      <w:r>
        <w:rPr>
          <w:sz w:val="32"/>
          <w:szCs w:val="32"/>
        </w:rPr>
        <w:t xml:space="preserve"> </w:t>
      </w:r>
      <w:proofErr w:type="spellStart"/>
      <w:r>
        <w:rPr>
          <w:sz w:val="32"/>
          <w:szCs w:val="32"/>
        </w:rPr>
        <w:t>Sanzgiri</w:t>
      </w:r>
      <w:proofErr w:type="spellEnd"/>
    </w:p>
    <w:p w:rsidR="00327D2A" w:rsidRDefault="00327D2A" w:rsidP="00327D2A">
      <w:pPr>
        <w:rPr>
          <w:i/>
          <w:iCs/>
          <w:sz w:val="24"/>
          <w:szCs w:val="24"/>
        </w:rPr>
      </w:pPr>
      <w:r w:rsidRPr="004A39C2">
        <w:rPr>
          <w:i/>
          <w:iCs/>
          <w:sz w:val="24"/>
          <w:szCs w:val="24"/>
        </w:rPr>
        <w:t>FutureLearn and Indian MOOC platforms - Differences in Monetisation, Accreditation and Learner Experiences</w:t>
      </w:r>
    </w:p>
    <w:p w:rsidR="001654D0" w:rsidRPr="00F84770" w:rsidRDefault="001654D0" w:rsidP="001654D0">
      <w:pPr>
        <w:rPr>
          <w:rFonts w:ascii="Calibri" w:eastAsia="Times New Roman" w:hAnsi="Calibri"/>
          <w:color w:val="000000"/>
          <w:sz w:val="24"/>
          <w:szCs w:val="24"/>
        </w:rPr>
      </w:pPr>
      <w:r w:rsidRPr="00F84770">
        <w:rPr>
          <w:rFonts w:ascii="Calibri" w:eastAsia="Times New Roman" w:hAnsi="Calibri"/>
          <w:color w:val="000000"/>
          <w:sz w:val="24"/>
          <w:szCs w:val="24"/>
        </w:rPr>
        <w:t>This talk outlines the funding, monetisation and accreditation strategies used by the major MOOC platforms in India (SWAYAM and NPTEL), and compares the same with those of FutureLearn. This talk highlights the key findings of my PhD research on Indian learners in FutureLearn and NPTEL, and sheds light on how these themes influence the demographics, motivations and experiences of the learners that choose to study on these platforms. Lastly, this talk ends with a discussion on what this means for the various stakeholders within FutureLearn that may wish to reach out to more learners from India. </w:t>
      </w:r>
    </w:p>
    <w:p w:rsidR="001654D0" w:rsidRDefault="001654D0" w:rsidP="00327D2A">
      <w:pPr>
        <w:rPr>
          <w:i/>
          <w:iCs/>
          <w:sz w:val="24"/>
          <w:szCs w:val="24"/>
        </w:rPr>
      </w:pPr>
    </w:p>
    <w:p w:rsidR="00327D2A" w:rsidRDefault="00327D2A" w:rsidP="00327D2A">
      <w:pPr>
        <w:rPr>
          <w:sz w:val="32"/>
          <w:szCs w:val="32"/>
        </w:rPr>
      </w:pPr>
      <w:r w:rsidRPr="007A05C3">
        <w:rPr>
          <w:sz w:val="32"/>
          <w:szCs w:val="32"/>
        </w:rPr>
        <w:t>Jonathan Pitches</w:t>
      </w:r>
      <w:r w:rsidR="00F84770">
        <w:rPr>
          <w:sz w:val="32"/>
          <w:szCs w:val="32"/>
        </w:rPr>
        <w:t xml:space="preserve"> (University of Leeds)</w:t>
      </w:r>
    </w:p>
    <w:p w:rsidR="00327D2A" w:rsidRDefault="00327D2A" w:rsidP="00327D2A">
      <w:pPr>
        <w:rPr>
          <w:i/>
          <w:iCs/>
          <w:sz w:val="24"/>
          <w:szCs w:val="24"/>
        </w:rPr>
      </w:pPr>
      <w:r w:rsidRPr="005A378E">
        <w:rPr>
          <w:i/>
          <w:iCs/>
          <w:sz w:val="24"/>
          <w:szCs w:val="24"/>
        </w:rPr>
        <w:t xml:space="preserve">Research Impact and MOOCs – what contribution can digital education make to the REF impact agenda? </w:t>
      </w:r>
    </w:p>
    <w:p w:rsidR="001654D0" w:rsidRPr="00F84770" w:rsidRDefault="001654D0" w:rsidP="001654D0">
      <w:pPr>
        <w:rPr>
          <w:sz w:val="24"/>
          <w:szCs w:val="24"/>
        </w:rPr>
      </w:pPr>
      <w:r w:rsidRPr="00F84770">
        <w:rPr>
          <w:sz w:val="24"/>
          <w:szCs w:val="24"/>
        </w:rPr>
        <w:t xml:space="preserve">Online courses are particularly well positioned to be used as case studies for research impact. This presentation by Lead Educator Prof Jonathan Pitches draws on two variants of a theatre-based FutureLearn course, </w:t>
      </w:r>
      <w:r w:rsidRPr="00F84770">
        <w:rPr>
          <w:i/>
          <w:iCs/>
          <w:sz w:val="24"/>
          <w:szCs w:val="24"/>
        </w:rPr>
        <w:t>Meyerhold’s Biomechanics</w:t>
      </w:r>
      <w:r w:rsidRPr="00F84770">
        <w:rPr>
          <w:sz w:val="24"/>
          <w:szCs w:val="24"/>
        </w:rPr>
        <w:t xml:space="preserve"> (2015-present), to outline some of the opportunities and challenges associated with narrating the relationship of online learning to the impact agenda.  It will outline the structure of the course, debate the identification of beneficiaries, and present some of the potential testimony being drawn on to illustrate change. It will conclude with a more general discussion on what might constitute good practice when colleagues are developing online learning courses with an eye on their potential research impact. </w:t>
      </w:r>
    </w:p>
    <w:p w:rsidR="001654D0" w:rsidRPr="00327D2A" w:rsidRDefault="001654D0" w:rsidP="00327D2A">
      <w:pPr>
        <w:rPr>
          <w:sz w:val="28"/>
          <w:szCs w:val="28"/>
        </w:rPr>
      </w:pPr>
    </w:p>
    <w:sectPr w:rsidR="001654D0" w:rsidRPr="00327D2A" w:rsidSect="000D48CD">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54533"/>
    <w:multiLevelType w:val="hybridMultilevel"/>
    <w:tmpl w:val="0712AD48"/>
    <w:lvl w:ilvl="0" w:tplc="35E01C7E">
      <w:start w:val="1"/>
      <w:numFmt w:val="bullet"/>
      <w:lvlText w:val="•"/>
      <w:lvlJc w:val="left"/>
      <w:pPr>
        <w:tabs>
          <w:tab w:val="num" w:pos="720"/>
        </w:tabs>
        <w:ind w:left="720" w:hanging="360"/>
      </w:pPr>
      <w:rPr>
        <w:rFonts w:ascii="Arial" w:hAnsi="Arial" w:hint="default"/>
      </w:rPr>
    </w:lvl>
    <w:lvl w:ilvl="1" w:tplc="7C7E8104" w:tentative="1">
      <w:start w:val="1"/>
      <w:numFmt w:val="bullet"/>
      <w:lvlText w:val="•"/>
      <w:lvlJc w:val="left"/>
      <w:pPr>
        <w:tabs>
          <w:tab w:val="num" w:pos="1440"/>
        </w:tabs>
        <w:ind w:left="1440" w:hanging="360"/>
      </w:pPr>
      <w:rPr>
        <w:rFonts w:ascii="Arial" w:hAnsi="Arial" w:hint="default"/>
      </w:rPr>
    </w:lvl>
    <w:lvl w:ilvl="2" w:tplc="0AE0A6D6" w:tentative="1">
      <w:start w:val="1"/>
      <w:numFmt w:val="bullet"/>
      <w:lvlText w:val="•"/>
      <w:lvlJc w:val="left"/>
      <w:pPr>
        <w:tabs>
          <w:tab w:val="num" w:pos="2160"/>
        </w:tabs>
        <w:ind w:left="2160" w:hanging="360"/>
      </w:pPr>
      <w:rPr>
        <w:rFonts w:ascii="Arial" w:hAnsi="Arial" w:hint="default"/>
      </w:rPr>
    </w:lvl>
    <w:lvl w:ilvl="3" w:tplc="E5B4BE66" w:tentative="1">
      <w:start w:val="1"/>
      <w:numFmt w:val="bullet"/>
      <w:lvlText w:val="•"/>
      <w:lvlJc w:val="left"/>
      <w:pPr>
        <w:tabs>
          <w:tab w:val="num" w:pos="2880"/>
        </w:tabs>
        <w:ind w:left="2880" w:hanging="360"/>
      </w:pPr>
      <w:rPr>
        <w:rFonts w:ascii="Arial" w:hAnsi="Arial" w:hint="default"/>
      </w:rPr>
    </w:lvl>
    <w:lvl w:ilvl="4" w:tplc="C85E7B7A" w:tentative="1">
      <w:start w:val="1"/>
      <w:numFmt w:val="bullet"/>
      <w:lvlText w:val="•"/>
      <w:lvlJc w:val="left"/>
      <w:pPr>
        <w:tabs>
          <w:tab w:val="num" w:pos="3600"/>
        </w:tabs>
        <w:ind w:left="3600" w:hanging="360"/>
      </w:pPr>
      <w:rPr>
        <w:rFonts w:ascii="Arial" w:hAnsi="Arial" w:hint="default"/>
      </w:rPr>
    </w:lvl>
    <w:lvl w:ilvl="5" w:tplc="6D56DC50" w:tentative="1">
      <w:start w:val="1"/>
      <w:numFmt w:val="bullet"/>
      <w:lvlText w:val="•"/>
      <w:lvlJc w:val="left"/>
      <w:pPr>
        <w:tabs>
          <w:tab w:val="num" w:pos="4320"/>
        </w:tabs>
        <w:ind w:left="4320" w:hanging="360"/>
      </w:pPr>
      <w:rPr>
        <w:rFonts w:ascii="Arial" w:hAnsi="Arial" w:hint="default"/>
      </w:rPr>
    </w:lvl>
    <w:lvl w:ilvl="6" w:tplc="6FCA24F6" w:tentative="1">
      <w:start w:val="1"/>
      <w:numFmt w:val="bullet"/>
      <w:lvlText w:val="•"/>
      <w:lvlJc w:val="left"/>
      <w:pPr>
        <w:tabs>
          <w:tab w:val="num" w:pos="5040"/>
        </w:tabs>
        <w:ind w:left="5040" w:hanging="360"/>
      </w:pPr>
      <w:rPr>
        <w:rFonts w:ascii="Arial" w:hAnsi="Arial" w:hint="default"/>
      </w:rPr>
    </w:lvl>
    <w:lvl w:ilvl="7" w:tplc="6C36D84A" w:tentative="1">
      <w:start w:val="1"/>
      <w:numFmt w:val="bullet"/>
      <w:lvlText w:val="•"/>
      <w:lvlJc w:val="left"/>
      <w:pPr>
        <w:tabs>
          <w:tab w:val="num" w:pos="5760"/>
        </w:tabs>
        <w:ind w:left="5760" w:hanging="360"/>
      </w:pPr>
      <w:rPr>
        <w:rFonts w:ascii="Arial" w:hAnsi="Arial" w:hint="default"/>
      </w:rPr>
    </w:lvl>
    <w:lvl w:ilvl="8" w:tplc="334417C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2"/>
    <w:rsid w:val="000D48CD"/>
    <w:rsid w:val="001654D0"/>
    <w:rsid w:val="00327D2A"/>
    <w:rsid w:val="003D5A10"/>
    <w:rsid w:val="003E06F6"/>
    <w:rsid w:val="004118A9"/>
    <w:rsid w:val="004653EF"/>
    <w:rsid w:val="004702DE"/>
    <w:rsid w:val="004A39C2"/>
    <w:rsid w:val="004F398B"/>
    <w:rsid w:val="005226E5"/>
    <w:rsid w:val="005420FE"/>
    <w:rsid w:val="00560E9E"/>
    <w:rsid w:val="005A378E"/>
    <w:rsid w:val="005C06E1"/>
    <w:rsid w:val="00681452"/>
    <w:rsid w:val="007A05C3"/>
    <w:rsid w:val="007C087D"/>
    <w:rsid w:val="007C359D"/>
    <w:rsid w:val="00873A94"/>
    <w:rsid w:val="008D36EE"/>
    <w:rsid w:val="008F076B"/>
    <w:rsid w:val="00A32483"/>
    <w:rsid w:val="00A830AE"/>
    <w:rsid w:val="00AB7F10"/>
    <w:rsid w:val="00B846CB"/>
    <w:rsid w:val="00BE0329"/>
    <w:rsid w:val="00C8604C"/>
    <w:rsid w:val="00CA1468"/>
    <w:rsid w:val="00E05B86"/>
    <w:rsid w:val="00E511DB"/>
    <w:rsid w:val="00F32F31"/>
    <w:rsid w:val="00F847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0F09B6C-19FF-4507-A94F-B0E53AD1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05C3"/>
    <w:pPr>
      <w:spacing w:after="0" w:line="240" w:lineRule="auto"/>
    </w:pPr>
    <w:rPr>
      <w:rFonts w:ascii="Times New Roman" w:eastAsiaTheme="minorEastAsia" w:hAnsi="Times New Roman" w:cs="Times New Roman"/>
      <w:sz w:val="24"/>
      <w:szCs w:val="24"/>
      <w:lang w:eastAsia="zh-CN"/>
    </w:rPr>
  </w:style>
  <w:style w:type="character" w:styleId="Hyperlink">
    <w:name w:val="Hyperlink"/>
    <w:basedOn w:val="DefaultParagraphFont"/>
    <w:uiPriority w:val="99"/>
    <w:semiHidden/>
    <w:unhideWhenUsed/>
    <w:rsid w:val="005420FE"/>
    <w:rPr>
      <w:color w:val="0000FF"/>
      <w:u w:val="single"/>
    </w:rPr>
  </w:style>
  <w:style w:type="paragraph" w:styleId="ListParagraph">
    <w:name w:val="List Paragraph"/>
    <w:basedOn w:val="Normal"/>
    <w:uiPriority w:val="34"/>
    <w:qFormat/>
    <w:rsid w:val="00F84770"/>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0229">
      <w:bodyDiv w:val="1"/>
      <w:marLeft w:val="0"/>
      <w:marRight w:val="0"/>
      <w:marTop w:val="0"/>
      <w:marBottom w:val="0"/>
      <w:divBdr>
        <w:top w:val="none" w:sz="0" w:space="0" w:color="auto"/>
        <w:left w:val="none" w:sz="0" w:space="0" w:color="auto"/>
        <w:bottom w:val="none" w:sz="0" w:space="0" w:color="auto"/>
        <w:right w:val="none" w:sz="0" w:space="0" w:color="auto"/>
      </w:divBdr>
    </w:div>
    <w:div w:id="636255183">
      <w:bodyDiv w:val="1"/>
      <w:marLeft w:val="0"/>
      <w:marRight w:val="0"/>
      <w:marTop w:val="0"/>
      <w:marBottom w:val="0"/>
      <w:divBdr>
        <w:top w:val="none" w:sz="0" w:space="0" w:color="auto"/>
        <w:left w:val="none" w:sz="0" w:space="0" w:color="auto"/>
        <w:bottom w:val="none" w:sz="0" w:space="0" w:color="auto"/>
        <w:right w:val="none" w:sz="0" w:space="0" w:color="auto"/>
      </w:divBdr>
    </w:div>
    <w:div w:id="771823651">
      <w:bodyDiv w:val="1"/>
      <w:marLeft w:val="0"/>
      <w:marRight w:val="0"/>
      <w:marTop w:val="0"/>
      <w:marBottom w:val="0"/>
      <w:divBdr>
        <w:top w:val="none" w:sz="0" w:space="0" w:color="auto"/>
        <w:left w:val="none" w:sz="0" w:space="0" w:color="auto"/>
        <w:bottom w:val="none" w:sz="0" w:space="0" w:color="auto"/>
        <w:right w:val="none" w:sz="0" w:space="0" w:color="auto"/>
      </w:divBdr>
      <w:divsChild>
        <w:div w:id="421990899">
          <w:marLeft w:val="446"/>
          <w:marRight w:val="0"/>
          <w:marTop w:val="0"/>
          <w:marBottom w:val="0"/>
          <w:divBdr>
            <w:top w:val="none" w:sz="0" w:space="0" w:color="auto"/>
            <w:left w:val="none" w:sz="0" w:space="0" w:color="auto"/>
            <w:bottom w:val="none" w:sz="0" w:space="0" w:color="auto"/>
            <w:right w:val="none" w:sz="0" w:space="0" w:color="auto"/>
          </w:divBdr>
        </w:div>
      </w:divsChild>
    </w:div>
    <w:div w:id="824202926">
      <w:bodyDiv w:val="1"/>
      <w:marLeft w:val="0"/>
      <w:marRight w:val="0"/>
      <w:marTop w:val="0"/>
      <w:marBottom w:val="0"/>
      <w:divBdr>
        <w:top w:val="none" w:sz="0" w:space="0" w:color="auto"/>
        <w:left w:val="none" w:sz="0" w:space="0" w:color="auto"/>
        <w:bottom w:val="none" w:sz="0" w:space="0" w:color="auto"/>
        <w:right w:val="none" w:sz="0" w:space="0" w:color="auto"/>
      </w:divBdr>
    </w:div>
    <w:div w:id="872889463">
      <w:bodyDiv w:val="1"/>
      <w:marLeft w:val="0"/>
      <w:marRight w:val="0"/>
      <w:marTop w:val="0"/>
      <w:marBottom w:val="0"/>
      <w:divBdr>
        <w:top w:val="none" w:sz="0" w:space="0" w:color="auto"/>
        <w:left w:val="none" w:sz="0" w:space="0" w:color="auto"/>
        <w:bottom w:val="none" w:sz="0" w:space="0" w:color="auto"/>
        <w:right w:val="none" w:sz="0" w:space="0" w:color="auto"/>
      </w:divBdr>
    </w:div>
    <w:div w:id="1872108505">
      <w:bodyDiv w:val="1"/>
      <w:marLeft w:val="0"/>
      <w:marRight w:val="0"/>
      <w:marTop w:val="0"/>
      <w:marBottom w:val="0"/>
      <w:divBdr>
        <w:top w:val="none" w:sz="0" w:space="0" w:color="auto"/>
        <w:left w:val="none" w:sz="0" w:space="0" w:color="auto"/>
        <w:bottom w:val="none" w:sz="0" w:space="0" w:color="auto"/>
        <w:right w:val="none" w:sz="0" w:space="0" w:color="auto"/>
      </w:divBdr>
    </w:div>
    <w:div w:id="213393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533351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Swinnerton</dc:creator>
  <cp:keywords/>
  <dc:description/>
  <cp:lastModifiedBy>Bronwen Swinnerton</cp:lastModifiedBy>
  <cp:revision>8</cp:revision>
  <dcterms:created xsi:type="dcterms:W3CDTF">2019-09-09T07:01:00Z</dcterms:created>
  <dcterms:modified xsi:type="dcterms:W3CDTF">2019-09-09T07:34:00Z</dcterms:modified>
</cp:coreProperties>
</file>