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110CF" w14:textId="77777777" w:rsidR="00B963C8" w:rsidRDefault="00B963C8" w:rsidP="002F599A">
      <w:pPr>
        <w:spacing w:line="360" w:lineRule="auto"/>
        <w:jc w:val="both"/>
        <w:rPr>
          <w:b/>
          <w:bCs/>
          <w:sz w:val="28"/>
          <w:szCs w:val="28"/>
        </w:rPr>
      </w:pPr>
    </w:p>
    <w:p w14:paraId="65BC92C2" w14:textId="77777777" w:rsidR="0071582A" w:rsidRDefault="0071582A" w:rsidP="00B16525">
      <w:pPr>
        <w:spacing w:line="360" w:lineRule="auto"/>
        <w:jc w:val="center"/>
        <w:rPr>
          <w:b/>
          <w:bCs/>
          <w:sz w:val="48"/>
          <w:szCs w:val="48"/>
        </w:rPr>
      </w:pPr>
    </w:p>
    <w:p w14:paraId="3B2B5C77" w14:textId="2351725E" w:rsidR="0071582A" w:rsidRDefault="0071582A" w:rsidP="0071582A">
      <w:pPr>
        <w:tabs>
          <w:tab w:val="left" w:pos="735"/>
        </w:tabs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</w:p>
    <w:p w14:paraId="136D59B4" w14:textId="0E57036E" w:rsidR="00B963C8" w:rsidRDefault="00B963C8" w:rsidP="00B16525">
      <w:pPr>
        <w:spacing w:line="360" w:lineRule="auto"/>
        <w:jc w:val="center"/>
        <w:rPr>
          <w:b/>
          <w:bCs/>
          <w:sz w:val="48"/>
          <w:szCs w:val="48"/>
        </w:rPr>
      </w:pPr>
      <w:r w:rsidRPr="00B16525">
        <w:rPr>
          <w:b/>
          <w:bCs/>
          <w:sz w:val="48"/>
          <w:szCs w:val="48"/>
        </w:rPr>
        <w:t>RASSO Learning and Development Guidance</w:t>
      </w:r>
    </w:p>
    <w:p w14:paraId="6E07142D" w14:textId="120D6508" w:rsidR="00B16525" w:rsidRDefault="00B16525" w:rsidP="00B16525">
      <w:pPr>
        <w:spacing w:line="36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723DD3" wp14:editId="5BB337BF">
            <wp:simplePos x="0" y="0"/>
            <wp:positionH relativeFrom="column">
              <wp:posOffset>1294765</wp:posOffset>
            </wp:positionH>
            <wp:positionV relativeFrom="paragraph">
              <wp:posOffset>327742</wp:posOffset>
            </wp:positionV>
            <wp:extent cx="3343032" cy="287251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32" cy="287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2017A5" w14:textId="4BF1286A" w:rsidR="00B16525" w:rsidRDefault="00B16525" w:rsidP="00B16525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14:paraId="4F5F7755" w14:textId="1F76D1E9" w:rsidR="00B16525" w:rsidRDefault="00B16525" w:rsidP="00B16525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14:paraId="1E8069C3" w14:textId="5A2D2C68" w:rsidR="00B16525" w:rsidRDefault="00B16525" w:rsidP="00B16525">
      <w:pPr>
        <w:spacing w:line="360" w:lineRule="auto"/>
        <w:jc w:val="center"/>
        <w:rPr>
          <w:b/>
          <w:bCs/>
          <w:sz w:val="48"/>
          <w:szCs w:val="48"/>
        </w:rPr>
      </w:pPr>
    </w:p>
    <w:p w14:paraId="4B3FD040" w14:textId="5BED680F" w:rsidR="00B16525" w:rsidRDefault="00B16525" w:rsidP="00B16525">
      <w:pPr>
        <w:spacing w:line="360" w:lineRule="auto"/>
        <w:jc w:val="center"/>
        <w:rPr>
          <w:b/>
          <w:bCs/>
          <w:sz w:val="48"/>
          <w:szCs w:val="48"/>
        </w:rPr>
      </w:pPr>
    </w:p>
    <w:p w14:paraId="2999162A" w14:textId="66564E3F" w:rsidR="00B16525" w:rsidRDefault="00B16525" w:rsidP="00B16525">
      <w:pPr>
        <w:spacing w:line="360" w:lineRule="auto"/>
        <w:jc w:val="center"/>
        <w:rPr>
          <w:b/>
          <w:bCs/>
          <w:sz w:val="48"/>
          <w:szCs w:val="48"/>
        </w:rPr>
      </w:pPr>
    </w:p>
    <w:p w14:paraId="60BF8A14" w14:textId="29DBDB6A" w:rsidR="00B16525" w:rsidRDefault="00B16525" w:rsidP="00B16525">
      <w:pPr>
        <w:spacing w:line="360" w:lineRule="auto"/>
        <w:jc w:val="center"/>
        <w:rPr>
          <w:b/>
          <w:bCs/>
          <w:sz w:val="48"/>
          <w:szCs w:val="48"/>
        </w:rPr>
      </w:pPr>
    </w:p>
    <w:p w14:paraId="235C48B2" w14:textId="187768E7" w:rsidR="009E0324" w:rsidRDefault="00F42DAB" w:rsidP="007158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 </w:t>
      </w:r>
      <w:r w:rsidR="0071582A">
        <w:rPr>
          <w:b/>
          <w:bCs/>
          <w:sz w:val="28"/>
          <w:szCs w:val="28"/>
        </w:rPr>
        <w:t xml:space="preserve">Emma Williams, Richard Harding, </w:t>
      </w:r>
      <w:r>
        <w:rPr>
          <w:b/>
          <w:bCs/>
          <w:sz w:val="28"/>
          <w:szCs w:val="28"/>
        </w:rPr>
        <w:t xml:space="preserve">Dr </w:t>
      </w:r>
      <w:r w:rsidR="0071582A">
        <w:rPr>
          <w:b/>
          <w:bCs/>
          <w:sz w:val="28"/>
          <w:szCs w:val="28"/>
        </w:rPr>
        <w:t xml:space="preserve">Nicky Miller, </w:t>
      </w:r>
      <w:r>
        <w:rPr>
          <w:b/>
          <w:bCs/>
          <w:sz w:val="28"/>
          <w:szCs w:val="28"/>
        </w:rPr>
        <w:t xml:space="preserve">Dr </w:t>
      </w:r>
      <w:r w:rsidR="0071582A">
        <w:rPr>
          <w:b/>
          <w:bCs/>
          <w:sz w:val="28"/>
          <w:szCs w:val="28"/>
        </w:rPr>
        <w:t>Rachel Ward, Jennifer Norman March 2021</w:t>
      </w:r>
      <w:r w:rsidR="00844204">
        <w:rPr>
          <w:b/>
          <w:bCs/>
          <w:sz w:val="28"/>
          <w:szCs w:val="28"/>
        </w:rPr>
        <w:t xml:space="preserve"> (adapted from </w:t>
      </w:r>
      <w:r w:rsidR="00844204" w:rsidRPr="00844204">
        <w:rPr>
          <w:b/>
          <w:bCs/>
          <w:sz w:val="28"/>
          <w:szCs w:val="28"/>
        </w:rPr>
        <w:t>Harding R, Hartley J, Khalil L, et al.</w:t>
      </w:r>
      <w:r w:rsidR="00844204">
        <w:rPr>
          <w:b/>
          <w:bCs/>
          <w:sz w:val="28"/>
          <w:szCs w:val="28"/>
        </w:rPr>
        <w:t xml:space="preserve">, </w:t>
      </w:r>
      <w:r w:rsidR="00844204" w:rsidRPr="00844204">
        <w:rPr>
          <w:b/>
          <w:bCs/>
          <w:sz w:val="28"/>
          <w:szCs w:val="28"/>
        </w:rPr>
        <w:t>2019)</w:t>
      </w:r>
    </w:p>
    <w:p w14:paraId="6E509255" w14:textId="1A20CEB2" w:rsidR="009E0324" w:rsidRDefault="009E0324" w:rsidP="009E0324">
      <w:pPr>
        <w:jc w:val="center"/>
        <w:rPr>
          <w:b/>
          <w:bCs/>
          <w:sz w:val="28"/>
          <w:szCs w:val="28"/>
        </w:rPr>
      </w:pPr>
      <w:r w:rsidRPr="009E0324">
        <w:rPr>
          <w:b/>
          <w:bCs/>
        </w:rPr>
        <w:t>Licencing &amp; copyright</w:t>
      </w:r>
      <w:r>
        <w:rPr>
          <w:b/>
          <w:bCs/>
        </w:rPr>
        <w:t>:</w:t>
      </w:r>
      <w:r>
        <w:t xml:space="preserve"> The content of this document (including models and graphics)</w:t>
      </w:r>
      <w:r w:rsidR="00A1727D">
        <w:t xml:space="preserve"> and the work from which it is derived</w:t>
      </w:r>
      <w:r>
        <w:t xml:space="preserve"> are released under the terms of the Creative Commons licence. This allows you to use the content throughout the world without payment but for </w:t>
      </w:r>
      <w:proofErr w:type="spellStart"/>
      <w:r>
        <w:t>noncommercial</w:t>
      </w:r>
      <w:proofErr w:type="spellEnd"/>
      <w:r>
        <w:t xml:space="preserve"> purposes only. Please read the Creative Commons Licence (</w:t>
      </w:r>
      <w:proofErr w:type="gramStart"/>
      <w:r>
        <w:t>http://creativecommons.org/licenses/by-nc-sa/4.0/deed.en_GB )</w:t>
      </w:r>
      <w:proofErr w:type="gramEnd"/>
      <w:r>
        <w:t xml:space="preserve"> in full before downloading or otherwise making use of the Materials.</w:t>
      </w:r>
      <w:r>
        <w:rPr>
          <w:b/>
          <w:bCs/>
          <w:sz w:val="28"/>
          <w:szCs w:val="28"/>
        </w:rPr>
        <w:br w:type="page"/>
      </w:r>
    </w:p>
    <w:p w14:paraId="3DF7FD93" w14:textId="265D8F56" w:rsidR="009E3D0D" w:rsidRPr="009E3D0D" w:rsidRDefault="009E3D0D" w:rsidP="00B1652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Introduction</w:t>
      </w:r>
    </w:p>
    <w:p w14:paraId="15D353F0" w14:textId="158763AE" w:rsidR="003B0E1E" w:rsidRDefault="002F599A" w:rsidP="002F599A">
      <w:pPr>
        <w:spacing w:line="360" w:lineRule="auto"/>
        <w:jc w:val="both"/>
      </w:pPr>
      <w:r>
        <w:t xml:space="preserve">This document </w:t>
      </w:r>
      <w:r w:rsidR="003B0E1E">
        <w:t xml:space="preserve">draws on </w:t>
      </w:r>
      <w:r w:rsidR="008323D8">
        <w:t xml:space="preserve">learning and </w:t>
      </w:r>
      <w:r w:rsidR="003B0E1E">
        <w:t>o</w:t>
      </w:r>
      <w:r w:rsidR="009E3D0D">
        <w:t>utputs from research</w:t>
      </w:r>
      <w:r w:rsidR="006C13B0" w:rsidRPr="006C13B0">
        <w:t xml:space="preserve"> </w:t>
      </w:r>
      <w:r w:rsidR="006C13B0">
        <w:t>conducted by the Centre for Police Research and Learning (CPRL) at The Open University</w:t>
      </w:r>
      <w:r w:rsidR="00897B00">
        <w:t xml:space="preserve"> in collaboration with</w:t>
      </w:r>
      <w:r w:rsidR="006A5865">
        <w:t xml:space="preserve"> </w:t>
      </w:r>
      <w:r w:rsidR="00440E13">
        <w:t>MOPAC and</w:t>
      </w:r>
      <w:r w:rsidR="00897B00">
        <w:t xml:space="preserve"> 45 U</w:t>
      </w:r>
      <w:r w:rsidR="00C71B49">
        <w:t>K</w:t>
      </w:r>
      <w:r w:rsidR="00897B00">
        <w:t xml:space="preserve"> policing organizations</w:t>
      </w:r>
      <w:r w:rsidR="00C71B49">
        <w:t xml:space="preserve">.  </w:t>
      </w:r>
      <w:r w:rsidR="0067399A">
        <w:t xml:space="preserve">One of the </w:t>
      </w:r>
      <w:r w:rsidR="003B0E1E">
        <w:t>focuse</w:t>
      </w:r>
      <w:r w:rsidR="0067399A">
        <w:t xml:space="preserve">s of this research was </w:t>
      </w:r>
      <w:r w:rsidR="00C71B49">
        <w:t>how to</w:t>
      </w:r>
      <w:r w:rsidR="00C30A4D">
        <w:t xml:space="preserve"> create </w:t>
      </w:r>
      <w:r w:rsidR="001A493C">
        <w:t>the capability to</w:t>
      </w:r>
      <w:r w:rsidR="00C71B49">
        <w:t xml:space="preserve"> deliver</w:t>
      </w:r>
      <w:r w:rsidR="009E3D0D">
        <w:t xml:space="preserve"> learning and development</w:t>
      </w:r>
      <w:r w:rsidR="00585A08">
        <w:t xml:space="preserve"> outcomes</w:t>
      </w:r>
      <w:r w:rsidR="008323D8">
        <w:t xml:space="preserve"> in policing organizations</w:t>
      </w:r>
      <w:r w:rsidR="00C71B49">
        <w:t xml:space="preserve"> operating in complex and uncertain environments</w:t>
      </w:r>
      <w:r w:rsidR="003B0E1E">
        <w:t xml:space="preserve">.  </w:t>
      </w:r>
    </w:p>
    <w:p w14:paraId="08E5AF36" w14:textId="3AF75203" w:rsidR="000C4252" w:rsidRDefault="003B0E1E" w:rsidP="002F599A">
      <w:pPr>
        <w:spacing w:line="360" w:lineRule="auto"/>
        <w:jc w:val="both"/>
      </w:pPr>
      <w:r>
        <w:t>The Destination Map</w:t>
      </w:r>
      <w:r w:rsidR="004E7547">
        <w:t xml:space="preserve"> (DM</w:t>
      </w:r>
      <w:r w:rsidR="00DA7559">
        <w:t>, see figure 1 below)</w:t>
      </w:r>
      <w:r>
        <w:t xml:space="preserve"> </w:t>
      </w:r>
      <w:r w:rsidR="00E46166">
        <w:t>was co-</w:t>
      </w:r>
      <w:r>
        <w:t>developed</w:t>
      </w:r>
      <w:r w:rsidR="00AA3D0E">
        <w:t xml:space="preserve"> by academics </w:t>
      </w:r>
      <w:r w:rsidR="00AD01A1">
        <w:t xml:space="preserve">from the </w:t>
      </w:r>
      <w:r w:rsidR="004B336A">
        <w:t xml:space="preserve">CPRL </w:t>
      </w:r>
      <w:r w:rsidR="00AA3D0E">
        <w:t>and policing</w:t>
      </w:r>
      <w:r>
        <w:t xml:space="preserve"> </w:t>
      </w:r>
      <w:r w:rsidR="00550419">
        <w:t>colleagues</w:t>
      </w:r>
      <w:r w:rsidR="009E0324">
        <w:t xml:space="preserve"> </w:t>
      </w:r>
      <w:bookmarkStart w:id="0" w:name="_Hlk70579248"/>
      <w:r w:rsidR="009E0324">
        <w:t>(</w:t>
      </w:r>
      <w:r w:rsidR="009E0324" w:rsidRPr="009E0324">
        <w:t>Harding R, Hartley J, Khalil L, et al. (2019)</w:t>
      </w:r>
      <w:bookmarkEnd w:id="0"/>
      <w:r w:rsidR="009E0324">
        <w:t>)</w:t>
      </w:r>
      <w:r w:rsidR="00BA08C5">
        <w:t xml:space="preserve">.  It and the </w:t>
      </w:r>
      <w:r w:rsidR="002C72E1">
        <w:t>evidence produced from th</w:t>
      </w:r>
      <w:r w:rsidR="00303891">
        <w:t>e</w:t>
      </w:r>
      <w:r w:rsidR="002C72E1">
        <w:t xml:space="preserve"> </w:t>
      </w:r>
      <w:r w:rsidR="00214547">
        <w:t xml:space="preserve">earlier </w:t>
      </w:r>
      <w:r>
        <w:t xml:space="preserve">research </w:t>
      </w:r>
      <w:r w:rsidR="00DA7559">
        <w:t>is highly</w:t>
      </w:r>
      <w:r>
        <w:t xml:space="preserve"> relevan</w:t>
      </w:r>
      <w:r w:rsidR="00DA7559">
        <w:t>t</w:t>
      </w:r>
      <w:r>
        <w:t xml:space="preserve"> to the RASSO context and this guidance</w:t>
      </w:r>
      <w:r w:rsidR="002C72E1">
        <w:t xml:space="preserve"> document</w:t>
      </w:r>
      <w:r>
        <w:t xml:space="preserve"> has been developed </w:t>
      </w:r>
      <w:r w:rsidR="004B336A">
        <w:t xml:space="preserve">to apply this </w:t>
      </w:r>
      <w:r w:rsidR="005C6ACD">
        <w:t xml:space="preserve">prior </w:t>
      </w:r>
      <w:r w:rsidR="004B336A">
        <w:t>learni</w:t>
      </w:r>
      <w:r w:rsidR="004B063D">
        <w:t>ng within this specific field of policing based on the findings from Project Bluestone</w:t>
      </w:r>
      <w:r>
        <w:t xml:space="preserve">. </w:t>
      </w:r>
    </w:p>
    <w:p w14:paraId="6A1A892B" w14:textId="0D2396A2" w:rsidR="002F599A" w:rsidRDefault="003B0E1E" w:rsidP="002F599A">
      <w:pPr>
        <w:spacing w:line="360" w:lineRule="auto"/>
        <w:jc w:val="both"/>
      </w:pPr>
      <w:r>
        <w:t xml:space="preserve">The </w:t>
      </w:r>
      <w:r w:rsidR="004E7547">
        <w:t xml:space="preserve">DM </w:t>
      </w:r>
      <w:r>
        <w:t xml:space="preserve">places learning and development </w:t>
      </w:r>
      <w:r w:rsidR="005C6ACD">
        <w:t xml:space="preserve">activities </w:t>
      </w:r>
      <w:r>
        <w:t xml:space="preserve">at the forefront </w:t>
      </w:r>
      <w:r w:rsidR="008531DB">
        <w:t xml:space="preserve">of </w:t>
      </w:r>
      <w:r w:rsidR="006C13B0">
        <w:t>policing</w:t>
      </w:r>
      <w:r w:rsidR="000C4252">
        <w:t xml:space="preserve"> change and improvement</w:t>
      </w:r>
      <w:r w:rsidR="008531DB">
        <w:t>.  It does so by</w:t>
      </w:r>
      <w:r w:rsidR="006B26DB">
        <w:t xml:space="preserve"> linking</w:t>
      </w:r>
      <w:r>
        <w:t xml:space="preserve"> individual and organi</w:t>
      </w:r>
      <w:r w:rsidR="00037899">
        <w:t>z</w:t>
      </w:r>
      <w:r>
        <w:t>ation</w:t>
      </w:r>
      <w:r w:rsidR="0084561A">
        <w:t>al</w:t>
      </w:r>
      <w:r>
        <w:t xml:space="preserve"> </w:t>
      </w:r>
      <w:r w:rsidR="008531DB">
        <w:t xml:space="preserve">learning and development activity with </w:t>
      </w:r>
      <w:r w:rsidR="00847C07">
        <w:t xml:space="preserve">individual and organizational </w:t>
      </w:r>
      <w:r w:rsidR="004E7547">
        <w:t xml:space="preserve">capacity and </w:t>
      </w:r>
      <w:r>
        <w:t xml:space="preserve">capability </w:t>
      </w:r>
      <w:r w:rsidR="00847C07">
        <w:t>which supports</w:t>
      </w:r>
      <w:r w:rsidR="00321D01">
        <w:t xml:space="preserve"> the</w:t>
      </w:r>
      <w:r w:rsidR="00061BE1">
        <w:t xml:space="preserve"> deliver</w:t>
      </w:r>
      <w:r w:rsidR="00321D01">
        <w:t>y of</w:t>
      </w:r>
      <w:r w:rsidR="009E4562">
        <w:t xml:space="preserve"> </w:t>
      </w:r>
      <w:r w:rsidR="00C4165D">
        <w:t>policing</w:t>
      </w:r>
      <w:r>
        <w:t xml:space="preserve"> mission</w:t>
      </w:r>
      <w:r w:rsidR="00C4165D">
        <w:t>s</w:t>
      </w:r>
      <w:r>
        <w:t xml:space="preserve"> and values</w:t>
      </w:r>
      <w:r w:rsidR="008221DE">
        <w:t xml:space="preserve"> to the publics they serve</w:t>
      </w:r>
      <w:r>
        <w:t xml:space="preserve">. </w:t>
      </w:r>
      <w:r w:rsidR="00061BE1">
        <w:t xml:space="preserve"> </w:t>
      </w:r>
      <w:r>
        <w:t xml:space="preserve">Furthermore, it </w:t>
      </w:r>
      <w:r w:rsidR="0092407E">
        <w:t xml:space="preserve">places all activity within a framework of </w:t>
      </w:r>
      <w:r w:rsidR="006C13B0">
        <w:t xml:space="preserve">ethical and fair service which is </w:t>
      </w:r>
      <w:r w:rsidR="001B584F">
        <w:t xml:space="preserve">critical </w:t>
      </w:r>
      <w:r w:rsidR="006C13B0">
        <w:t>to the RASSO context</w:t>
      </w:r>
      <w:r>
        <w:t xml:space="preserve">. This approach </w:t>
      </w:r>
      <w:r w:rsidR="00F008BE">
        <w:t xml:space="preserve">seeks to </w:t>
      </w:r>
      <w:r>
        <w:t>ensure</w:t>
      </w:r>
      <w:r w:rsidR="006C13B0">
        <w:t xml:space="preserve"> that</w:t>
      </w:r>
      <w:r>
        <w:t xml:space="preserve"> the public</w:t>
      </w:r>
      <w:r w:rsidR="00F008BE">
        <w:t>s</w:t>
      </w:r>
      <w:r>
        <w:t xml:space="preserve"> </w:t>
      </w:r>
      <w:r w:rsidR="00B16525">
        <w:t xml:space="preserve">served by policing </w:t>
      </w:r>
      <w:r>
        <w:t>receive the best service from the</w:t>
      </w:r>
      <w:r w:rsidR="00B16525">
        <w:t>m</w:t>
      </w:r>
      <w:r w:rsidR="004B063D">
        <w:t xml:space="preserve">. </w:t>
      </w:r>
      <w:r w:rsidR="00B16525">
        <w:t xml:space="preserve"> To achieve this t</w:t>
      </w:r>
      <w:r>
        <w:t>here is a need to consider learning from both an organisational and individual perspective</w:t>
      </w:r>
      <w:r w:rsidR="00E71874">
        <w:t xml:space="preserve">, and in particular how individual and </w:t>
      </w:r>
      <w:r w:rsidR="00220E00">
        <w:t xml:space="preserve">organizational </w:t>
      </w:r>
      <w:r w:rsidR="00B32E72">
        <w:t xml:space="preserve">activity is </w:t>
      </w:r>
      <w:r w:rsidR="00A673C9">
        <w:t>experienced</w:t>
      </w:r>
      <w:r w:rsidR="00B32E72">
        <w:t xml:space="preserve"> by </w:t>
      </w:r>
      <w:r w:rsidR="00C84F39">
        <w:t xml:space="preserve">those who </w:t>
      </w:r>
      <w:r w:rsidR="00CB6FB0">
        <w:t xml:space="preserve">are in receipt of </w:t>
      </w:r>
      <w:r w:rsidR="00015AE3">
        <w:t xml:space="preserve">the results of </w:t>
      </w:r>
      <w:r w:rsidR="004B063D">
        <w:t>t</w:t>
      </w:r>
      <w:r w:rsidR="00015AE3">
        <w:t>hat</w:t>
      </w:r>
      <w:r w:rsidR="004B063D">
        <w:t xml:space="preserve"> learning</w:t>
      </w:r>
      <w:r w:rsidR="00015AE3">
        <w:t xml:space="preserve"> and the effects it creates</w:t>
      </w:r>
      <w:r>
        <w:t>.</w:t>
      </w:r>
      <w:r w:rsidR="00F858FC">
        <w:t xml:space="preserve">  </w:t>
      </w:r>
      <w:r w:rsidR="00B338B3">
        <w:t>The DM</w:t>
      </w:r>
      <w:r w:rsidR="00F858FC">
        <w:t xml:space="preserve"> express</w:t>
      </w:r>
      <w:r w:rsidR="00CF1E59">
        <w:t xml:space="preserve">ly </w:t>
      </w:r>
      <w:r w:rsidR="00434076">
        <w:t>links</w:t>
      </w:r>
      <w:r w:rsidR="00B338B3">
        <w:t xml:space="preserve"> activity in </w:t>
      </w:r>
      <w:r w:rsidR="00434076">
        <w:t xml:space="preserve">each of these </w:t>
      </w:r>
      <w:r w:rsidR="00B338B3">
        <w:t>three ‘domains’</w:t>
      </w:r>
      <w:r w:rsidR="00434076">
        <w:t xml:space="preserve"> and encourages feedback and learning from each to inform future activity</w:t>
      </w:r>
      <w:r w:rsidR="003F4C6C">
        <w:t xml:space="preserve"> </w:t>
      </w:r>
      <w:r w:rsidR="00A41486">
        <w:t xml:space="preserve">and learning </w:t>
      </w:r>
      <w:r w:rsidR="003F4C6C">
        <w:t>in the others</w:t>
      </w:r>
      <w:r w:rsidR="00B22B3D">
        <w:t xml:space="preserve"> in a continuous and ongoing process</w:t>
      </w:r>
      <w:r w:rsidR="00530177">
        <w:t>.</w:t>
      </w:r>
      <w:r>
        <w:t xml:space="preserve"> </w:t>
      </w:r>
    </w:p>
    <w:p w14:paraId="6A38FD4A" w14:textId="1DACEF18" w:rsidR="00C340A3" w:rsidRDefault="0043354F" w:rsidP="002F599A">
      <w:pPr>
        <w:spacing w:line="360" w:lineRule="auto"/>
        <w:jc w:val="both"/>
      </w:pPr>
      <w:r>
        <w:t>The concept</w:t>
      </w:r>
      <w:r w:rsidR="00A12177">
        <w:t>s</w:t>
      </w:r>
      <w:r>
        <w:t xml:space="preserve"> of l</w:t>
      </w:r>
      <w:r w:rsidR="0002646B">
        <w:t xml:space="preserve">earning and development are placed at the </w:t>
      </w:r>
      <w:r w:rsidR="007660AD">
        <w:t xml:space="preserve">centre of </w:t>
      </w:r>
      <w:r w:rsidR="00291517">
        <w:t>the DM</w:t>
      </w:r>
      <w:r w:rsidR="00877E7E">
        <w:t xml:space="preserve"> as the practice</w:t>
      </w:r>
      <w:r w:rsidR="00973713">
        <w:t>s</w:t>
      </w:r>
      <w:r w:rsidR="00877E7E">
        <w:t xml:space="preserve"> of formal </w:t>
      </w:r>
      <w:r w:rsidR="00BA4124">
        <w:t>and informal learning and development</w:t>
      </w:r>
      <w:r w:rsidR="004918EA">
        <w:t xml:space="preserve">, through </w:t>
      </w:r>
      <w:r w:rsidR="00194AF2">
        <w:t xml:space="preserve">for example </w:t>
      </w:r>
      <w:r w:rsidR="004918EA">
        <w:t xml:space="preserve">formal training, </w:t>
      </w:r>
      <w:r w:rsidR="003530A9">
        <w:t>reflective practice</w:t>
      </w:r>
      <w:r w:rsidR="00433075">
        <w:t xml:space="preserve">, </w:t>
      </w:r>
      <w:r w:rsidR="008D6945">
        <w:t xml:space="preserve">debriefing, </w:t>
      </w:r>
      <w:r w:rsidR="00433075">
        <w:t>self-directed</w:t>
      </w:r>
      <w:r w:rsidR="00A41486">
        <w:t xml:space="preserve"> and</w:t>
      </w:r>
      <w:r w:rsidR="00433075">
        <w:t xml:space="preserve"> peer to peer learning</w:t>
      </w:r>
      <w:r w:rsidR="00102A75">
        <w:t>,</w:t>
      </w:r>
      <w:r w:rsidR="00685A53">
        <w:t xml:space="preserve"> </w:t>
      </w:r>
      <w:r w:rsidR="004B063D">
        <w:t xml:space="preserve">locally held data, </w:t>
      </w:r>
      <w:r w:rsidR="00570153">
        <w:t xml:space="preserve">listening to </w:t>
      </w:r>
      <w:r w:rsidR="00FE081B">
        <w:t xml:space="preserve">the views and experiences of </w:t>
      </w:r>
      <w:r w:rsidR="00685A53">
        <w:t>victims and survivors</w:t>
      </w:r>
      <w:r w:rsidR="001B4693">
        <w:t xml:space="preserve"> etc</w:t>
      </w:r>
      <w:r w:rsidR="00DC3213">
        <w:t xml:space="preserve">, </w:t>
      </w:r>
      <w:r w:rsidR="00102A75">
        <w:t xml:space="preserve"> </w:t>
      </w:r>
      <w:r w:rsidR="001B4693">
        <w:t xml:space="preserve">when </w:t>
      </w:r>
      <w:r w:rsidR="00A12177">
        <w:t>applied to</w:t>
      </w:r>
      <w:r w:rsidR="00997C15">
        <w:t xml:space="preserve"> and across</w:t>
      </w:r>
      <w:r w:rsidR="00A12177">
        <w:t xml:space="preserve"> </w:t>
      </w:r>
      <w:r w:rsidR="001B4693">
        <w:t>all three domains</w:t>
      </w:r>
      <w:r w:rsidR="002B0DD6">
        <w:t xml:space="preserve"> </w:t>
      </w:r>
      <w:r w:rsidR="00102A75">
        <w:t xml:space="preserve">become </w:t>
      </w:r>
      <w:r w:rsidR="00154374">
        <w:t xml:space="preserve">a </w:t>
      </w:r>
      <w:r w:rsidR="005F39E9">
        <w:t xml:space="preserve">potential </w:t>
      </w:r>
      <w:r w:rsidR="00102A75">
        <w:t xml:space="preserve">engine of </w:t>
      </w:r>
      <w:r w:rsidR="00500D0F">
        <w:t>change</w:t>
      </w:r>
      <w:r w:rsidR="00154374">
        <w:t xml:space="preserve"> </w:t>
      </w:r>
      <w:r w:rsidR="004B063D">
        <w:t xml:space="preserve">and development </w:t>
      </w:r>
      <w:r w:rsidR="00154374">
        <w:t>within policing practice and delivery</w:t>
      </w:r>
      <w:r w:rsidR="00500D0F">
        <w:t>.</w:t>
      </w:r>
      <w:r w:rsidR="00BA4124">
        <w:t xml:space="preserve"> </w:t>
      </w:r>
    </w:p>
    <w:p w14:paraId="57A5C739" w14:textId="0B6BD429" w:rsidR="00A67C41" w:rsidRDefault="00994A82" w:rsidP="002F599A">
      <w:pPr>
        <w:spacing w:line="360" w:lineRule="auto"/>
        <w:jc w:val="both"/>
      </w:pPr>
      <w:r>
        <w:t>The three</w:t>
      </w:r>
      <w:r w:rsidR="005979CE">
        <w:t xml:space="preserve"> domains</w:t>
      </w:r>
      <w:r w:rsidR="00A036E8">
        <w:t xml:space="preserve"> of the model are</w:t>
      </w:r>
      <w:r w:rsidR="00F518E3">
        <w:t xml:space="preserve"> defined in the plural (</w:t>
      </w:r>
      <w:r w:rsidR="00A67C41">
        <w:t>I</w:t>
      </w:r>
      <w:r w:rsidR="00F518E3">
        <w:t>ndividuals</w:t>
      </w:r>
      <w:r w:rsidR="00A67C41">
        <w:t xml:space="preserve">, Organizations and Publics) to highlight </w:t>
      </w:r>
      <w:r w:rsidR="00B52FE8">
        <w:t xml:space="preserve">the </w:t>
      </w:r>
      <w:r w:rsidR="006A3C49">
        <w:t>importan</w:t>
      </w:r>
      <w:r w:rsidR="00B52FE8">
        <w:t>ce of</w:t>
      </w:r>
      <w:r w:rsidR="006A3C49">
        <w:t xml:space="preserve"> recognis</w:t>
      </w:r>
      <w:r w:rsidR="00354C74">
        <w:t>ing</w:t>
      </w:r>
      <w:r w:rsidR="006A3C49">
        <w:t xml:space="preserve"> that each is made </w:t>
      </w:r>
      <w:r w:rsidR="002A3A64">
        <w:t xml:space="preserve">up of </w:t>
      </w:r>
      <w:r w:rsidR="00B52FE8">
        <w:t xml:space="preserve">diverse </w:t>
      </w:r>
      <w:r w:rsidR="00C27FCC">
        <w:t>groups and individuals</w:t>
      </w:r>
      <w:r w:rsidR="004B063D">
        <w:t>. As</w:t>
      </w:r>
      <w:r w:rsidR="00B97D32">
        <w:t xml:space="preserve"> such recognising and engaging th</w:t>
      </w:r>
      <w:r w:rsidR="002E01AE">
        <w:t>is</w:t>
      </w:r>
      <w:r w:rsidR="00B97D32">
        <w:t xml:space="preserve"> diversity is critical to</w:t>
      </w:r>
      <w:r w:rsidR="00800C73">
        <w:t xml:space="preserve"> </w:t>
      </w:r>
      <w:r w:rsidR="0008281A">
        <w:t xml:space="preserve">effectively </w:t>
      </w:r>
      <w:r w:rsidR="00800C73">
        <w:t>delivering both individual</w:t>
      </w:r>
      <w:r w:rsidR="00DA1B6B">
        <w:t xml:space="preserve"> and group </w:t>
      </w:r>
      <w:r w:rsidR="002D7E5C">
        <w:t>outcomes and effect.</w:t>
      </w:r>
      <w:r w:rsidR="00800C73">
        <w:t xml:space="preserve"> </w:t>
      </w:r>
      <w:r w:rsidR="00B97D32">
        <w:t xml:space="preserve">  </w:t>
      </w:r>
    </w:p>
    <w:p w14:paraId="6574B1E9" w14:textId="7688F99C" w:rsidR="00FE6A04" w:rsidRDefault="00FE6A04" w:rsidP="002F599A">
      <w:pPr>
        <w:spacing w:line="360" w:lineRule="auto"/>
        <w:jc w:val="both"/>
      </w:pPr>
      <w:r>
        <w:lastRenderedPageBreak/>
        <w:t xml:space="preserve">It is perhaps important to recognise that this guide does not seek to set out </w:t>
      </w:r>
      <w:r w:rsidR="006E55E5" w:rsidRPr="004B063D">
        <w:rPr>
          <w:b/>
          <w:bCs/>
        </w:rPr>
        <w:t>what</w:t>
      </w:r>
      <w:r w:rsidR="006E55E5">
        <w:t xml:space="preserve"> learning and development activities are required, given the </w:t>
      </w:r>
      <w:r w:rsidR="00FE59C5">
        <w:t>complex</w:t>
      </w:r>
      <w:r w:rsidR="004B063D">
        <w:t>, changing</w:t>
      </w:r>
      <w:r w:rsidR="00FE59C5">
        <w:t xml:space="preserve"> and diverse settings and requirements this would be </w:t>
      </w:r>
      <w:r w:rsidR="007A6EDC">
        <w:t xml:space="preserve">unlikely to work.  It is however intended to provide a model and understanding of the type of </w:t>
      </w:r>
      <w:r w:rsidR="004B063D">
        <w:t xml:space="preserve">iterative </w:t>
      </w:r>
      <w:r w:rsidR="007A6EDC">
        <w:t xml:space="preserve">learning and development environment that might support </w:t>
      </w:r>
      <w:r w:rsidR="00C356E3">
        <w:t xml:space="preserve">the development of improved </w:t>
      </w:r>
      <w:r w:rsidR="00A30B66">
        <w:t>RASSO investigative ability.</w:t>
      </w:r>
    </w:p>
    <w:p w14:paraId="058A4623" w14:textId="7CD2A448" w:rsidR="00B54204" w:rsidRDefault="00B54204" w:rsidP="00B54204">
      <w:pPr>
        <w:pStyle w:val="Caption"/>
        <w:keepNext/>
      </w:pPr>
      <w:r>
        <w:t xml:space="preserve">Figure </w:t>
      </w:r>
      <w:r w:rsidR="008E0D0D">
        <w:fldChar w:fldCharType="begin"/>
      </w:r>
      <w:r w:rsidR="008E0D0D">
        <w:instrText xml:space="preserve"> SEQ Figure \* ARABIC </w:instrText>
      </w:r>
      <w:r w:rsidR="008E0D0D">
        <w:fldChar w:fldCharType="separate"/>
      </w:r>
      <w:r>
        <w:rPr>
          <w:noProof/>
        </w:rPr>
        <w:t>1</w:t>
      </w:r>
      <w:r w:rsidR="008E0D0D">
        <w:rPr>
          <w:noProof/>
        </w:rPr>
        <w:fldChar w:fldCharType="end"/>
      </w:r>
      <w:r>
        <w:t xml:space="preserve"> - The Destination Map</w:t>
      </w:r>
    </w:p>
    <w:p w14:paraId="6F2EE005" w14:textId="348EB283" w:rsidR="006C13B0" w:rsidRDefault="00CC701E">
      <w:r>
        <w:rPr>
          <w:noProof/>
        </w:rPr>
        <w:drawing>
          <wp:inline distT="0" distB="0" distL="0" distR="0" wp14:anchorId="3964251E" wp14:editId="59E45E7C">
            <wp:extent cx="4980940" cy="4279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7E908" w14:textId="77777777" w:rsidR="006C13B0" w:rsidRDefault="006C13B0"/>
    <w:p w14:paraId="30BA2916" w14:textId="31FC8B46" w:rsidR="00DD77FE" w:rsidRDefault="00B54204" w:rsidP="00A30B66">
      <w:pPr>
        <w:spacing w:line="360" w:lineRule="auto"/>
      </w:pPr>
      <w:r>
        <w:t xml:space="preserve">In order to </w:t>
      </w:r>
      <w:r w:rsidR="00F729DB">
        <w:t xml:space="preserve">create an environment where </w:t>
      </w:r>
      <w:r w:rsidR="004810F8">
        <w:t>th</w:t>
      </w:r>
      <w:r w:rsidR="009A1631">
        <w:t>e DM</w:t>
      </w:r>
      <w:r w:rsidR="004810F8">
        <w:t xml:space="preserve"> can</w:t>
      </w:r>
      <w:r w:rsidR="009A1631">
        <w:t xml:space="preserve"> operate successfully </w:t>
      </w:r>
      <w:r w:rsidR="006C13B0">
        <w:t>17</w:t>
      </w:r>
      <w:r w:rsidR="00B679AA">
        <w:t xml:space="preserve"> essential</w:t>
      </w:r>
      <w:r w:rsidR="006C13B0">
        <w:t xml:space="preserve"> criteria</w:t>
      </w:r>
      <w:r w:rsidR="00BE486E">
        <w:t xml:space="preserve"> were identified </w:t>
      </w:r>
      <w:r w:rsidR="00055D33">
        <w:t xml:space="preserve">by the academics and practitioners </w:t>
      </w:r>
      <w:r w:rsidR="00F80802">
        <w:t>who developed it</w:t>
      </w:r>
      <w:r w:rsidR="0027126D">
        <w:t xml:space="preserve">.  </w:t>
      </w:r>
      <w:r w:rsidR="0034034C">
        <w:t xml:space="preserve"> </w:t>
      </w:r>
      <w:r w:rsidR="00116E72">
        <w:t xml:space="preserve">These are listed </w:t>
      </w:r>
      <w:r w:rsidR="00161AA6">
        <w:t>below along with</w:t>
      </w:r>
      <w:r w:rsidR="00BD5349">
        <w:t xml:space="preserve"> an outline of</w:t>
      </w:r>
      <w:r w:rsidR="00161AA6">
        <w:t xml:space="preserve"> </w:t>
      </w:r>
      <w:r w:rsidR="00BD5349">
        <w:t xml:space="preserve">how they </w:t>
      </w:r>
      <w:r w:rsidR="001E2B8E">
        <w:t xml:space="preserve">might </w:t>
      </w:r>
      <w:r w:rsidR="00BD5349">
        <w:t xml:space="preserve">apply </w:t>
      </w:r>
      <w:r w:rsidR="00AC68B9">
        <w:t>in</w:t>
      </w:r>
      <w:r w:rsidR="00BD5349">
        <w:t xml:space="preserve"> the specific context of RASSO investigation</w:t>
      </w:r>
      <w:r w:rsidR="002335C0">
        <w:t>.</w:t>
      </w:r>
      <w:r w:rsidR="00BD5349">
        <w:t xml:space="preserve"> </w:t>
      </w:r>
    </w:p>
    <w:p w14:paraId="0AEBF345" w14:textId="5235B9CD" w:rsidR="00A11182" w:rsidRPr="00A11182" w:rsidRDefault="00A11182" w:rsidP="00A30B66">
      <w:pPr>
        <w:spacing w:line="360" w:lineRule="auto"/>
      </w:pPr>
      <w:r w:rsidRPr="00A11182">
        <w:t>For more information on the original research and the outputs</w:t>
      </w:r>
      <w:r w:rsidR="002D4D6B" w:rsidRPr="002D4D6B">
        <w:t xml:space="preserve"> </w:t>
      </w:r>
      <w:r w:rsidR="002D4D6B" w:rsidRPr="00A11182">
        <w:t>it created</w:t>
      </w:r>
      <w:r w:rsidR="00B36504">
        <w:t>, and in particular the Destinat</w:t>
      </w:r>
      <w:r w:rsidR="002D4D6B">
        <w:t>ion Map,</w:t>
      </w:r>
      <w:r w:rsidRPr="00A11182">
        <w:t xml:space="preserve"> please visit  </w:t>
      </w:r>
      <w:hyperlink r:id="rId8" w:history="1">
        <w:r w:rsidRPr="00A11182">
          <w:rPr>
            <w:rStyle w:val="Hyperlink"/>
          </w:rPr>
          <w:t>Implementing Transformation of Police L&amp;D | Centre for Policing Research and Learning (open.ac.uk)</w:t>
        </w:r>
      </w:hyperlink>
    </w:p>
    <w:p w14:paraId="0BE66450" w14:textId="20A2F6FA" w:rsidR="006C13B0" w:rsidRDefault="006C13B0"/>
    <w:tbl>
      <w:tblPr>
        <w:tblStyle w:val="TableGrid"/>
        <w:tblpPr w:leftFromText="180" w:rightFromText="180" w:vertAnchor="text" w:horzAnchor="margin" w:tblpY="193"/>
        <w:tblOverlap w:val="never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84"/>
        <w:gridCol w:w="3678"/>
        <w:gridCol w:w="4734"/>
      </w:tblGrid>
      <w:tr w:rsidR="006C13B0" w:rsidRPr="006B2194" w14:paraId="3B1E1291" w14:textId="77777777" w:rsidTr="00DB5E9B">
        <w:trPr>
          <w:trHeight w:val="930"/>
        </w:trPr>
        <w:tc>
          <w:tcPr>
            <w:tcW w:w="2369" w:type="pct"/>
            <w:gridSpan w:val="2"/>
            <w:shd w:val="clear" w:color="auto" w:fill="1F4E79" w:themeFill="accent5" w:themeFillShade="80"/>
            <w:vAlign w:val="center"/>
          </w:tcPr>
          <w:p w14:paraId="6D5A2103" w14:textId="645F9A91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lastRenderedPageBreak/>
              <w:t xml:space="preserve">Essential Criteria </w:t>
            </w:r>
          </w:p>
        </w:tc>
        <w:tc>
          <w:tcPr>
            <w:tcW w:w="2631" w:type="pct"/>
            <w:shd w:val="clear" w:color="auto" w:fill="1F4E79" w:themeFill="accent5" w:themeFillShade="80"/>
          </w:tcPr>
          <w:p w14:paraId="35B16D98" w14:textId="77777777" w:rsidR="006C13B0" w:rsidRDefault="006C13B0" w:rsidP="003710AA">
            <w:pPr>
              <w:spacing w:line="360" w:lineRule="auto"/>
              <w:rPr>
                <w:b/>
              </w:rPr>
            </w:pPr>
          </w:p>
          <w:p w14:paraId="72C643A5" w14:textId="4E5AAEF2" w:rsidR="006C13B0" w:rsidRPr="006B2194" w:rsidRDefault="00B962C5" w:rsidP="003710AA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does this mean for RASSO Investigations?</w:t>
            </w:r>
          </w:p>
        </w:tc>
      </w:tr>
      <w:tr w:rsidR="006C13B0" w:rsidRPr="006B2194" w14:paraId="306ECD53" w14:textId="77777777" w:rsidTr="00DB5E9B">
        <w:trPr>
          <w:trHeight w:val="664"/>
        </w:trPr>
        <w:tc>
          <w:tcPr>
            <w:tcW w:w="325" w:type="pct"/>
            <w:shd w:val="clear" w:color="auto" w:fill="1F4E79" w:themeFill="accent5" w:themeFillShade="80"/>
          </w:tcPr>
          <w:p w14:paraId="0BBB27CF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25F2EF97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 xml:space="preserve">Systems and processes for understanding the skills and knowledge capital (skills and knowledge held by personnel irrespective of source) within the organisation 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209EF718" w14:textId="785722A8" w:rsidR="006F0252" w:rsidRDefault="006C13B0" w:rsidP="003710AA">
            <w:pPr>
              <w:spacing w:line="360" w:lineRule="auto"/>
            </w:pPr>
            <w:r w:rsidRPr="00812FFE">
              <w:t xml:space="preserve">Understanding and mapping the knowledge and skills of </w:t>
            </w:r>
            <w:r w:rsidR="007B3792">
              <w:t>officers and staff</w:t>
            </w:r>
            <w:r w:rsidRPr="00812FFE">
              <w:t xml:space="preserve"> within an organisation is </w:t>
            </w:r>
            <w:r w:rsidR="002C72E1">
              <w:t xml:space="preserve">essential. </w:t>
            </w:r>
            <w:r w:rsidR="007B3792">
              <w:t xml:space="preserve">In a specialist environment </w:t>
            </w:r>
            <w:r w:rsidR="00F45D46">
              <w:t>involving many complex issues in relation to the suspects and victims involved in cases of rape (</w:t>
            </w:r>
            <w:proofErr w:type="spellStart"/>
            <w:r w:rsidR="00F45D46">
              <w:t>Rumney</w:t>
            </w:r>
            <w:proofErr w:type="spellEnd"/>
            <w:r w:rsidR="00F45D46">
              <w:t xml:space="preserve"> et al, 2020) officers</w:t>
            </w:r>
            <w:r w:rsidR="007B3792">
              <w:t xml:space="preserve"> and staff should be provided with relevant RASSO training and regular CPD events. </w:t>
            </w:r>
            <w:r w:rsidR="006F0252">
              <w:t xml:space="preserve">The implementation of </w:t>
            </w:r>
            <w:r w:rsidR="00F45D46">
              <w:t xml:space="preserve">the </w:t>
            </w:r>
            <w:r w:rsidR="006F0252">
              <w:t xml:space="preserve">Chronicle </w:t>
            </w:r>
            <w:r w:rsidR="00F45D46">
              <w:t xml:space="preserve">database </w:t>
            </w:r>
            <w:r w:rsidR="006F0252">
              <w:t>will support this and provide further detail of the skill</w:t>
            </w:r>
            <w:r w:rsidR="005B79B4">
              <w:t>s and capabilities</w:t>
            </w:r>
            <w:r w:rsidR="006F0252">
              <w:t xml:space="preserve"> currently present in Avon and Somerset and where the gaps are. </w:t>
            </w:r>
          </w:p>
          <w:p w14:paraId="73DE40F4" w14:textId="4F9EFA38" w:rsidR="006C13B0" w:rsidRPr="006B2194" w:rsidRDefault="007B3792" w:rsidP="003710AA">
            <w:pPr>
              <w:spacing w:line="360" w:lineRule="auto"/>
            </w:pPr>
            <w:r>
              <w:t xml:space="preserve">Understanding who has completed training </w:t>
            </w:r>
            <w:r w:rsidR="00DB78BA">
              <w:t xml:space="preserve">and </w:t>
            </w:r>
            <w:r w:rsidR="00560F84">
              <w:t xml:space="preserve">other </w:t>
            </w:r>
            <w:r w:rsidR="00DB78BA">
              <w:t xml:space="preserve">learning </w:t>
            </w:r>
            <w:r w:rsidR="00F86DB2">
              <w:t xml:space="preserve">activities </w:t>
            </w:r>
            <w:r>
              <w:t xml:space="preserve">and the subsequent portfolio is critical to the delivery of </w:t>
            </w:r>
            <w:r w:rsidR="006C13B0" w:rsidRPr="00812FFE">
              <w:t>public value outcomes. </w:t>
            </w:r>
            <w:r w:rsidR="00F45D46">
              <w:t xml:space="preserve"> Working in a specialist area for RASSO would contextualise the</w:t>
            </w:r>
            <w:r w:rsidR="00F0371E">
              <w:t xml:space="preserve"> formal and informal</w:t>
            </w:r>
            <w:r w:rsidR="00F45D46">
              <w:t xml:space="preserve"> learning for officers and allow them to complete the portfolio in a meaningful manner. </w:t>
            </w:r>
            <w:r w:rsidR="006C13B0" w:rsidRPr="00812FFE">
              <w:t xml:space="preserve">In addition, knowledge of </w:t>
            </w:r>
            <w:r>
              <w:t xml:space="preserve">relevant </w:t>
            </w:r>
            <w:r w:rsidR="006C13B0" w:rsidRPr="00812FFE">
              <w:t xml:space="preserve">research projects </w:t>
            </w:r>
            <w:r w:rsidR="00F45D46">
              <w:t>that officers and staff</w:t>
            </w:r>
            <w:r w:rsidR="006C13B0" w:rsidRPr="00812FFE">
              <w:t xml:space="preserve"> </w:t>
            </w:r>
            <w:r>
              <w:t xml:space="preserve">have been or </w:t>
            </w:r>
            <w:r w:rsidR="006C13B0" w:rsidRPr="00812FFE">
              <w:t xml:space="preserve">are involved in allows </w:t>
            </w:r>
            <w:r>
              <w:t xml:space="preserve">for </w:t>
            </w:r>
            <w:r w:rsidR="00317F04">
              <w:t xml:space="preserve">the opportunity </w:t>
            </w:r>
            <w:r w:rsidR="00E97D6D">
              <w:t xml:space="preserve">of developing </w:t>
            </w:r>
            <w:r w:rsidR="0074595D">
              <w:t xml:space="preserve">evidence based </w:t>
            </w:r>
            <w:r>
              <w:t xml:space="preserve">organisational </w:t>
            </w:r>
            <w:r w:rsidRPr="00812FFE">
              <w:t>learning</w:t>
            </w:r>
            <w:r w:rsidR="006C13B0" w:rsidRPr="00812FFE">
              <w:t xml:space="preserve"> and practice</w:t>
            </w:r>
            <w:r>
              <w:t xml:space="preserve"> and </w:t>
            </w:r>
            <w:r w:rsidR="00FA1D59">
              <w:t xml:space="preserve">the </w:t>
            </w:r>
            <w:r>
              <w:t xml:space="preserve">potential </w:t>
            </w:r>
            <w:r w:rsidR="00FA1D59">
              <w:t xml:space="preserve">for </w:t>
            </w:r>
            <w:r>
              <w:t xml:space="preserve">sharing </w:t>
            </w:r>
            <w:r w:rsidR="00FA1D59">
              <w:t>and embedding in practice</w:t>
            </w:r>
            <w:r w:rsidR="006C13B0" w:rsidRPr="00812FFE">
              <w:t xml:space="preserve">.  To do this successfully systems and processes need to be designed and embedded in organisations to capture and </w:t>
            </w:r>
            <w:r>
              <w:t xml:space="preserve">make effective use of </w:t>
            </w:r>
            <w:r w:rsidR="00CC341D">
              <w:t>relevant</w:t>
            </w:r>
            <w:r>
              <w:t xml:space="preserve"> data</w:t>
            </w:r>
            <w:r w:rsidR="006C13B0" w:rsidRPr="00812FFE">
              <w:t>.  </w:t>
            </w:r>
          </w:p>
        </w:tc>
      </w:tr>
      <w:tr w:rsidR="006C13B0" w:rsidRPr="006B2194" w14:paraId="504C2CC6" w14:textId="77777777" w:rsidTr="00DB5E9B">
        <w:trPr>
          <w:trHeight w:val="656"/>
        </w:trPr>
        <w:tc>
          <w:tcPr>
            <w:tcW w:w="325" w:type="pct"/>
            <w:shd w:val="clear" w:color="auto" w:fill="1F4E79" w:themeFill="accent5" w:themeFillShade="80"/>
          </w:tcPr>
          <w:p w14:paraId="25C7A639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2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77408D9A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 xml:space="preserve">Understanding of internal and external demand for police service and on police services to support </w:t>
            </w:r>
            <w:r w:rsidRPr="006B2194">
              <w:lastRenderedPageBreak/>
              <w:t xml:space="preserve">short, </w:t>
            </w:r>
            <w:proofErr w:type="gramStart"/>
            <w:r w:rsidRPr="006B2194">
              <w:t>medium</w:t>
            </w:r>
            <w:proofErr w:type="gramEnd"/>
            <w:r w:rsidRPr="006B2194">
              <w:t xml:space="preserve"> and long-term L&amp;D planning and delivery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25289C60" w14:textId="513A7F33" w:rsidR="007B3792" w:rsidRDefault="006C13B0" w:rsidP="003710AA">
            <w:pPr>
              <w:spacing w:line="360" w:lineRule="auto"/>
            </w:pPr>
            <w:r w:rsidRPr="00812FFE">
              <w:lastRenderedPageBreak/>
              <w:t>Police services</w:t>
            </w:r>
            <w:r w:rsidR="00F45D46">
              <w:t xml:space="preserve"> </w:t>
            </w:r>
            <w:r w:rsidRPr="00812FFE">
              <w:t xml:space="preserve">/ agencies can be reactive to their immediate demand environments which may make it difficult to think about </w:t>
            </w:r>
            <w:r w:rsidR="006B459F">
              <w:t>longer</w:t>
            </w:r>
            <w:r w:rsidR="00931994">
              <w:t xml:space="preserve"> term or </w:t>
            </w:r>
            <w:r w:rsidR="00E15C2D">
              <w:lastRenderedPageBreak/>
              <w:t xml:space="preserve">more </w:t>
            </w:r>
            <w:r w:rsidR="007B3792">
              <w:t>strategi</w:t>
            </w:r>
            <w:r w:rsidR="004B33BE">
              <w:t>c</w:t>
            </w:r>
            <w:r w:rsidR="007B3792">
              <w:t xml:space="preserve"> learning and development requirements.</w:t>
            </w:r>
            <w:r w:rsidR="004B33BE">
              <w:t xml:space="preserve"> </w:t>
            </w:r>
            <w:r w:rsidR="00F45D46">
              <w:t xml:space="preserve">This can result in quick decisions </w:t>
            </w:r>
            <w:r w:rsidR="00931994">
              <w:t>that can have long term implications for good or ill</w:t>
            </w:r>
            <w:r w:rsidR="00F45D46">
              <w:t xml:space="preserve">. </w:t>
            </w:r>
            <w:r w:rsidR="004B33BE">
              <w:t xml:space="preserve">There are opportunities to </w:t>
            </w:r>
            <w:r w:rsidR="003F25C7">
              <w:t xml:space="preserve">develop and </w:t>
            </w:r>
            <w:r w:rsidR="004B33BE">
              <w:t>utilise the force RAS</w:t>
            </w:r>
            <w:r w:rsidR="003F25C7">
              <w:t>S</w:t>
            </w:r>
            <w:r w:rsidR="004B33BE">
              <w:t xml:space="preserve">O problem profile more proactively to understanding demand, problems and </w:t>
            </w:r>
            <w:r w:rsidR="00614FEB">
              <w:t xml:space="preserve">the potential </w:t>
            </w:r>
            <w:r w:rsidR="004B33BE">
              <w:t xml:space="preserve">learning needs of officers and staff. </w:t>
            </w:r>
            <w:r w:rsidR="005100FB">
              <w:t xml:space="preserve"> </w:t>
            </w:r>
            <w:r w:rsidR="004B33BE">
              <w:t xml:space="preserve">A formalised reflective practice process, as part of the case reviews, will </w:t>
            </w:r>
            <w:r w:rsidR="00F45D46">
              <w:t>capture</w:t>
            </w:r>
            <w:r w:rsidR="004B33BE">
              <w:t xml:space="preserve"> CPD needs and any new RASSO demand contexts. This will inform a more</w:t>
            </w:r>
            <w:r w:rsidR="005100FB">
              <w:t xml:space="preserve"> evidence informed and</w:t>
            </w:r>
            <w:r w:rsidR="004B33BE">
              <w:t xml:space="preserve"> strategic approach to learning needs</w:t>
            </w:r>
            <w:r w:rsidR="00F45D46">
              <w:t xml:space="preserve"> and development</w:t>
            </w:r>
            <w:r w:rsidR="000B6D96">
              <w:t xml:space="preserve"> based on a sound understanding of internal and external demand</w:t>
            </w:r>
            <w:r w:rsidR="00F45D46">
              <w:t xml:space="preserve">. </w:t>
            </w:r>
          </w:p>
          <w:p w14:paraId="0285564B" w14:textId="33CE672C" w:rsidR="006C13B0" w:rsidRPr="006B2194" w:rsidRDefault="006C13B0" w:rsidP="003710AA">
            <w:pPr>
              <w:spacing w:line="360" w:lineRule="auto"/>
            </w:pPr>
            <w:r w:rsidRPr="00812FFE">
              <w:t xml:space="preserve"> </w:t>
            </w:r>
          </w:p>
        </w:tc>
      </w:tr>
      <w:tr w:rsidR="006C13B0" w:rsidRPr="006B2194" w14:paraId="730DFF92" w14:textId="77777777" w:rsidTr="00DB5E9B">
        <w:trPr>
          <w:trHeight w:val="664"/>
        </w:trPr>
        <w:tc>
          <w:tcPr>
            <w:tcW w:w="325" w:type="pct"/>
            <w:shd w:val="clear" w:color="auto" w:fill="1F4E79" w:themeFill="accent5" w:themeFillShade="80"/>
          </w:tcPr>
          <w:p w14:paraId="155E843F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3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660426F9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Systems and processes for understanding L&amp;D requirements at organisational, function and individual level via skills audits and training needs analysis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3875BD99" w14:textId="4106B174" w:rsidR="00BE3BD7" w:rsidRDefault="004B33BE" w:rsidP="003710AA">
            <w:pPr>
              <w:spacing w:line="360" w:lineRule="auto"/>
            </w:pPr>
            <w:r>
              <w:t>The recommendation for a formalised</w:t>
            </w:r>
            <w:r w:rsidR="00F42DAB">
              <w:t xml:space="preserve"> learning, reflective</w:t>
            </w:r>
            <w:r>
              <w:t xml:space="preserve"> review process and</w:t>
            </w:r>
            <w:r w:rsidR="00F42DAB">
              <w:t xml:space="preserve"> wider</w:t>
            </w:r>
            <w:r>
              <w:t xml:space="preserve"> peer to peer network</w:t>
            </w:r>
            <w:r w:rsidR="00F45D46">
              <w:t xml:space="preserve">s </w:t>
            </w:r>
            <w:r w:rsidR="00C651DE">
              <w:t xml:space="preserve">are excellent examples </w:t>
            </w:r>
            <w:r w:rsidR="00417BB5">
              <w:t>of approaches that</w:t>
            </w:r>
            <w:r w:rsidR="00D96491">
              <w:t xml:space="preserve"> create systems and processes to understand this criteria which</w:t>
            </w:r>
            <w:r w:rsidR="00417BB5">
              <w:t xml:space="preserve"> </w:t>
            </w:r>
            <w:r w:rsidR="00F45D46">
              <w:t>will allow</w:t>
            </w:r>
            <w:r w:rsidR="00E273CF">
              <w:t xml:space="preserve"> for</w:t>
            </w:r>
            <w:r>
              <w:t xml:space="preserve"> opportunities to </w:t>
            </w:r>
            <w:r w:rsidR="006C13B0" w:rsidRPr="00812FFE">
              <w:t xml:space="preserve">capture the professionally relevant knowledge and skills within </w:t>
            </w:r>
            <w:r>
              <w:t>the</w:t>
            </w:r>
            <w:r w:rsidR="006C13B0" w:rsidRPr="00812FFE">
              <w:t xml:space="preserve"> organisation</w:t>
            </w:r>
            <w:r w:rsidR="00C9345B">
              <w:t xml:space="preserve">, and </w:t>
            </w:r>
            <w:r w:rsidR="00417BB5">
              <w:t xml:space="preserve">importantly </w:t>
            </w:r>
            <w:r w:rsidR="00C9345B">
              <w:t>any gaps</w:t>
            </w:r>
            <w:r w:rsidR="00417BB5">
              <w:t xml:space="preserve"> that exist</w:t>
            </w:r>
            <w:r w:rsidR="00107600">
              <w:t xml:space="preserve"> to inform</w:t>
            </w:r>
            <w:r w:rsidR="00EB25D5">
              <w:t xml:space="preserve"> </w:t>
            </w:r>
            <w:r w:rsidR="002D745B">
              <w:t>current or future learning or developmental requirements</w:t>
            </w:r>
            <w:r w:rsidR="00F45D46">
              <w:t xml:space="preserve"> – currently this opportunity is being missed</w:t>
            </w:r>
            <w:r w:rsidR="00E273CF">
              <w:t xml:space="preserve">. This </w:t>
            </w:r>
            <w:r w:rsidR="002D745B">
              <w:t>w</w:t>
            </w:r>
            <w:r w:rsidR="00E273CF">
              <w:t xml:space="preserve">ould </w:t>
            </w:r>
            <w:r w:rsidR="00EB29B0">
              <w:t xml:space="preserve">also </w:t>
            </w:r>
            <w:r w:rsidR="00E273CF">
              <w:t>provide the op</w:t>
            </w:r>
            <w:r w:rsidR="00EB29B0">
              <w:t>portunity</w:t>
            </w:r>
            <w:r w:rsidR="00E273CF">
              <w:t xml:space="preserve"> to formally capture and share </w:t>
            </w:r>
            <w:r>
              <w:t>promising practice</w:t>
            </w:r>
            <w:r w:rsidR="006F0252">
              <w:t xml:space="preserve"> through the </w:t>
            </w:r>
            <w:r w:rsidR="00F45D46">
              <w:t>I</w:t>
            </w:r>
            <w:r w:rsidR="006F0252">
              <w:t xml:space="preserve">nvestigation </w:t>
            </w:r>
            <w:r w:rsidR="00F45D46">
              <w:t>P</w:t>
            </w:r>
            <w:r w:rsidR="006F0252">
              <w:t xml:space="preserve">rofessional </w:t>
            </w:r>
            <w:r w:rsidR="00F45D46">
              <w:t>D</w:t>
            </w:r>
            <w:r w:rsidR="006F0252">
              <w:t xml:space="preserve">evelopment </w:t>
            </w:r>
            <w:r w:rsidR="00F45D46">
              <w:t>U</w:t>
            </w:r>
            <w:r w:rsidR="006F0252">
              <w:t>nit</w:t>
            </w:r>
            <w:r w:rsidR="00F45D46">
              <w:t xml:space="preserve"> (IPDU)</w:t>
            </w:r>
            <w:r w:rsidR="00E273CF">
              <w:t xml:space="preserve">. </w:t>
            </w:r>
          </w:p>
          <w:p w14:paraId="3FED0CE8" w14:textId="77777777" w:rsidR="00B84FEB" w:rsidRDefault="00E273CF" w:rsidP="003710AA">
            <w:pPr>
              <w:spacing w:line="360" w:lineRule="auto"/>
            </w:pPr>
            <w:r>
              <w:t xml:space="preserve">The targeting of learning needs </w:t>
            </w:r>
            <w:r w:rsidR="00F55140">
              <w:t>can</w:t>
            </w:r>
            <w:r>
              <w:t xml:space="preserve"> also be identified</w:t>
            </w:r>
            <w:r w:rsidR="00F45D46">
              <w:t xml:space="preserve"> to those most in need – please consider the link to wellbeing (Jackman et al, 2020). </w:t>
            </w:r>
            <w:r w:rsidR="00BE3BD7">
              <w:t xml:space="preserve"> </w:t>
            </w:r>
            <w:r w:rsidR="00F45D46">
              <w:t>T</w:t>
            </w:r>
            <w:r w:rsidR="00627522">
              <w:t>he t</w:t>
            </w:r>
            <w:r w:rsidR="00F45D46">
              <w:t xml:space="preserve">raining needs </w:t>
            </w:r>
            <w:r w:rsidR="00BC7208">
              <w:t>of</w:t>
            </w:r>
            <w:r w:rsidR="00F45D46">
              <w:t xml:space="preserve"> portfolio assessors </w:t>
            </w:r>
            <w:r w:rsidR="00701992">
              <w:t xml:space="preserve">are an </w:t>
            </w:r>
            <w:r w:rsidR="00701992">
              <w:lastRenderedPageBreak/>
              <w:t xml:space="preserve">example of </w:t>
            </w:r>
            <w:r w:rsidR="00BE3BD7">
              <w:t xml:space="preserve">such </w:t>
            </w:r>
            <w:r w:rsidR="00701992">
              <w:t xml:space="preserve">a </w:t>
            </w:r>
            <w:r w:rsidR="004B69A7">
              <w:t>priority</w:t>
            </w:r>
            <w:r w:rsidR="00701992">
              <w:t xml:space="preserve"> area</w:t>
            </w:r>
            <w:r w:rsidR="00AA7806">
              <w:t xml:space="preserve"> identified in the current </w:t>
            </w:r>
            <w:r w:rsidR="00AF37EC">
              <w:t>research</w:t>
            </w:r>
            <w:r w:rsidR="004B69A7">
              <w:t xml:space="preserve">. </w:t>
            </w:r>
            <w:r w:rsidR="00F45D46">
              <w:t xml:space="preserve"> </w:t>
            </w:r>
          </w:p>
          <w:p w14:paraId="4858003D" w14:textId="43161617" w:rsidR="00F45D46" w:rsidRPr="006B2194" w:rsidRDefault="00AF37EC" w:rsidP="003710AA">
            <w:pPr>
              <w:spacing w:line="360" w:lineRule="auto"/>
            </w:pPr>
            <w:r>
              <w:t xml:space="preserve">To </w:t>
            </w:r>
            <w:r w:rsidR="002D7F40">
              <w:t xml:space="preserve">achieve these </w:t>
            </w:r>
            <w:r w:rsidR="005665CE">
              <w:t>outcomes,</w:t>
            </w:r>
            <w:r w:rsidR="002D7F40">
              <w:t xml:space="preserve"> it is</w:t>
            </w:r>
            <w:r>
              <w:t xml:space="preserve"> necessary </w:t>
            </w:r>
            <w:r w:rsidR="002D7F40">
              <w:t>to create</w:t>
            </w:r>
            <w:r w:rsidR="00240256">
              <w:t>, maintain and</w:t>
            </w:r>
            <w:r w:rsidR="002D7F40">
              <w:t xml:space="preserve"> use systems </w:t>
            </w:r>
            <w:r w:rsidR="0098605F">
              <w:t>and processes to capture this understanding.</w:t>
            </w:r>
          </w:p>
        </w:tc>
      </w:tr>
      <w:tr w:rsidR="006C13B0" w:rsidRPr="006B2194" w14:paraId="696DA135" w14:textId="77777777" w:rsidTr="00DB5E9B">
        <w:trPr>
          <w:trHeight w:val="397"/>
        </w:trPr>
        <w:tc>
          <w:tcPr>
            <w:tcW w:w="325" w:type="pct"/>
            <w:shd w:val="clear" w:color="auto" w:fill="1F4E79" w:themeFill="accent5" w:themeFillShade="80"/>
          </w:tcPr>
          <w:p w14:paraId="7B1274F4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4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0E1DAAA8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Systems and processes to identify patterns across L&amp;D activity to inform decisions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2328A5CE" w14:textId="7F0C004B" w:rsidR="006C13B0" w:rsidRPr="006B2194" w:rsidRDefault="006C13B0" w:rsidP="003710AA">
            <w:pPr>
              <w:spacing w:line="360" w:lineRule="auto"/>
            </w:pPr>
            <w:r w:rsidRPr="00812FFE">
              <w:t xml:space="preserve">Collecting, </w:t>
            </w:r>
            <w:proofErr w:type="gramStart"/>
            <w:r w:rsidRPr="00812FFE">
              <w:t>measuring</w:t>
            </w:r>
            <w:proofErr w:type="gramEnd"/>
            <w:r w:rsidRPr="00812FFE">
              <w:t xml:space="preserve"> and analysing data on learners and learning activity are essential tools for </w:t>
            </w:r>
            <w:r w:rsidR="00240256">
              <w:t xml:space="preserve">understanding </w:t>
            </w:r>
            <w:r w:rsidRPr="00812FFE">
              <w:t>the progress</w:t>
            </w:r>
            <w:r w:rsidR="00E273CF">
              <w:t xml:space="preserve"> and engagement of learners</w:t>
            </w:r>
            <w:r w:rsidRPr="00812FFE">
              <w:t>.  It enables understand</w:t>
            </w:r>
            <w:r w:rsidR="00061245">
              <w:t>ing of</w:t>
            </w:r>
            <w:r w:rsidRPr="00812FFE">
              <w:t xml:space="preserve"> what is working</w:t>
            </w:r>
            <w:r w:rsidR="00075830">
              <w:t>,</w:t>
            </w:r>
            <w:r w:rsidR="004B69A7">
              <w:t xml:space="preserve"> </w:t>
            </w:r>
            <w:r w:rsidR="00D3270C">
              <w:t>what is being engaged, what is not, and creates the possibility of</w:t>
            </w:r>
            <w:r w:rsidR="00790910">
              <w:t xml:space="preserve"> understanding how</w:t>
            </w:r>
            <w:r w:rsidR="00075830">
              <w:t xml:space="preserve"> </w:t>
            </w:r>
            <w:r w:rsidRPr="00812FFE">
              <w:t xml:space="preserve">individuals </w:t>
            </w:r>
            <w:r w:rsidR="00790910">
              <w:t xml:space="preserve">are formally and informally </w:t>
            </w:r>
            <w:r w:rsidRPr="00812FFE">
              <w:t>contribut</w:t>
            </w:r>
            <w:r w:rsidR="00790910">
              <w:t>ing</w:t>
            </w:r>
            <w:r w:rsidRPr="00812FFE">
              <w:t xml:space="preserve"> to their own CPD</w:t>
            </w:r>
            <w:r w:rsidR="002B13DD">
              <w:t xml:space="preserve">, identifying areas that require support or are not working as intended, </w:t>
            </w:r>
            <w:r w:rsidR="00075830">
              <w:t>and</w:t>
            </w:r>
            <w:r w:rsidR="00497300">
              <w:t xml:space="preserve"> thus</w:t>
            </w:r>
            <w:r w:rsidR="00075830">
              <w:t xml:space="preserve"> supporting the delivery of</w:t>
            </w:r>
            <w:r w:rsidRPr="00812FFE">
              <w:t xml:space="preserve"> organisational goals and service delivery</w:t>
            </w:r>
            <w:r w:rsidR="00075830">
              <w:t xml:space="preserve"> to victims</w:t>
            </w:r>
            <w:r w:rsidR="00497300">
              <w:t xml:space="preserve"> and survivors</w:t>
            </w:r>
            <w:r w:rsidR="00075830">
              <w:t xml:space="preserve"> of </w:t>
            </w:r>
            <w:r w:rsidR="00497300">
              <w:t>RASSO</w:t>
            </w:r>
            <w:r w:rsidRPr="00812FFE">
              <w:t xml:space="preserve">.  </w:t>
            </w:r>
            <w:r w:rsidR="00E91496">
              <w:t xml:space="preserve">It is therefore important to think about what </w:t>
            </w:r>
            <w:r w:rsidR="00651824">
              <w:t xml:space="preserve">data </w:t>
            </w:r>
            <w:r w:rsidR="00497300">
              <w:t xml:space="preserve">systems and processes need to be </w:t>
            </w:r>
            <w:r w:rsidR="00651824">
              <w:t xml:space="preserve">captured and </w:t>
            </w:r>
            <w:r w:rsidR="00625090">
              <w:t xml:space="preserve">created to </w:t>
            </w:r>
            <w:r w:rsidR="00651824">
              <w:t>gather</w:t>
            </w:r>
            <w:r w:rsidR="00625090">
              <w:t xml:space="preserve"> data on what and how learners are engaging their learning</w:t>
            </w:r>
            <w:r w:rsidR="002B13DD">
              <w:t>.</w:t>
            </w:r>
            <w:r w:rsidR="00E91496">
              <w:t xml:space="preserve"> </w:t>
            </w:r>
            <w:r w:rsidR="00B16525">
              <w:t>Equally, it is important that individual learners can access this data to inform their own learning and development journeys.</w:t>
            </w:r>
          </w:p>
        </w:tc>
      </w:tr>
      <w:tr w:rsidR="006C13B0" w:rsidRPr="006B2194" w14:paraId="29415F3E" w14:textId="77777777" w:rsidTr="00DB5E9B">
        <w:trPr>
          <w:trHeight w:val="405"/>
        </w:trPr>
        <w:tc>
          <w:tcPr>
            <w:tcW w:w="325" w:type="pct"/>
            <w:shd w:val="clear" w:color="auto" w:fill="1F4E79" w:themeFill="accent5" w:themeFillShade="80"/>
          </w:tcPr>
          <w:p w14:paraId="2DCE5222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5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5F31C10F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Systems and processes for accurately assessing the cost and value of L&amp;D activity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12C84D12" w14:textId="0A7436EF" w:rsidR="006C13B0" w:rsidRPr="006B2194" w:rsidRDefault="006C13B0" w:rsidP="003710AA">
            <w:pPr>
              <w:spacing w:line="360" w:lineRule="auto"/>
            </w:pPr>
            <w:r w:rsidRPr="00812FFE">
              <w:t>The opportunity cost of an officer or member of staff undertaking a course of learning is relatively easy to calculate</w:t>
            </w:r>
            <w:r w:rsidR="0059106C">
              <w:t xml:space="preserve">.  </w:t>
            </w:r>
            <w:r w:rsidR="00B16525">
              <w:t xml:space="preserve">However, </w:t>
            </w:r>
            <w:r w:rsidR="00494195">
              <w:t>understanding</w:t>
            </w:r>
            <w:r w:rsidRPr="00812FFE">
              <w:t xml:space="preserve"> the value of the </w:t>
            </w:r>
            <w:r w:rsidR="00777DD9">
              <w:t xml:space="preserve">learning </w:t>
            </w:r>
            <w:r w:rsidRPr="00812FFE">
              <w:t>outcome</w:t>
            </w:r>
            <w:r w:rsidR="00076A1C">
              <w:t>s</w:t>
            </w:r>
            <w:r w:rsidR="004C1D0A">
              <w:t xml:space="preserve"> </w:t>
            </w:r>
            <w:r w:rsidRPr="00812FFE">
              <w:t xml:space="preserve">that </w:t>
            </w:r>
            <w:r w:rsidR="00494195">
              <w:t xml:space="preserve">this </w:t>
            </w:r>
            <w:r w:rsidRPr="00812FFE">
              <w:t>activity</w:t>
            </w:r>
            <w:r w:rsidR="004C1D0A">
              <w:t xml:space="preserve"> creates</w:t>
            </w:r>
            <w:r w:rsidRPr="00812FFE">
              <w:t xml:space="preserve"> at an external, </w:t>
            </w:r>
            <w:proofErr w:type="gramStart"/>
            <w:r w:rsidRPr="00812FFE">
              <w:t>organisational</w:t>
            </w:r>
            <w:proofErr w:type="gramEnd"/>
            <w:r w:rsidRPr="00812FFE">
              <w:t xml:space="preserve"> and individual level is more challenging.  </w:t>
            </w:r>
            <w:r w:rsidR="006B312E">
              <w:t>Formal and informal</w:t>
            </w:r>
            <w:r w:rsidR="004C1D0A">
              <w:t xml:space="preserve"> </w:t>
            </w:r>
            <w:r w:rsidRPr="00812FFE">
              <w:t>L&amp;D activity is often seen as a cost to organisations, but</w:t>
            </w:r>
            <w:r w:rsidR="0011001F">
              <w:t xml:space="preserve"> </w:t>
            </w:r>
            <w:r w:rsidR="007F60E1">
              <w:t>in the context of RASS</w:t>
            </w:r>
            <w:r w:rsidR="00C26F80">
              <w:t xml:space="preserve">O investigation its value in terms of increasing </w:t>
            </w:r>
            <w:r w:rsidR="00C26F80">
              <w:lastRenderedPageBreak/>
              <w:t>in</w:t>
            </w:r>
            <w:r w:rsidR="00B20C68">
              <w:t xml:space="preserve">dividual investigators confidence, capacity and capability to deal </w:t>
            </w:r>
            <w:r w:rsidR="00566896">
              <w:t xml:space="preserve">effectively </w:t>
            </w:r>
            <w:r w:rsidR="00B20C68">
              <w:t xml:space="preserve">with the complex and emotive </w:t>
            </w:r>
            <w:r w:rsidR="00CD4B3E">
              <w:t xml:space="preserve">work </w:t>
            </w:r>
            <w:r w:rsidR="00DA2C7F">
              <w:t xml:space="preserve">they undertake combined with </w:t>
            </w:r>
            <w:r w:rsidR="00CD4B3E">
              <w:t xml:space="preserve">the ability to deliver better outcomes for victims and survivors </w:t>
            </w:r>
            <w:r w:rsidR="00296DFF">
              <w:t>should</w:t>
            </w:r>
            <w:r w:rsidR="00E50567">
              <w:t xml:space="preserve">, along with other possible </w:t>
            </w:r>
            <w:r w:rsidR="001E71A5">
              <w:t>value outcomes,</w:t>
            </w:r>
            <w:r w:rsidR="00E50567">
              <w:t xml:space="preserve"> be considered</w:t>
            </w:r>
            <w:r w:rsidR="001E71A5">
              <w:t xml:space="preserve"> against the pure </w:t>
            </w:r>
            <w:r w:rsidR="00DA2C7F">
              <w:t>‘</w:t>
            </w:r>
            <w:r w:rsidR="001E71A5">
              <w:t>cost</w:t>
            </w:r>
            <w:r w:rsidR="009F348C">
              <w:t>’</w:t>
            </w:r>
            <w:r w:rsidR="001E71A5">
              <w:t xml:space="preserve"> of training or learning activity.  Thinking about the value of lear</w:t>
            </w:r>
            <w:r w:rsidR="00A447C1">
              <w:t xml:space="preserve">ning and development activity </w:t>
            </w:r>
            <w:r w:rsidRPr="00812FFE">
              <w:t xml:space="preserve">provides executive teams and L&amp;D leads with measures that </w:t>
            </w:r>
            <w:r w:rsidR="009F348C">
              <w:t xml:space="preserve">help </w:t>
            </w:r>
            <w:r w:rsidR="00A447C1">
              <w:t xml:space="preserve">support </w:t>
            </w:r>
            <w:r w:rsidRPr="00812FFE">
              <w:t xml:space="preserve">more </w:t>
            </w:r>
            <w:r w:rsidR="009F348C">
              <w:t xml:space="preserve">informed and </w:t>
            </w:r>
            <w:r w:rsidRPr="00812FFE">
              <w:t xml:space="preserve">effective L&amp;D strategy and delivery.  </w:t>
            </w:r>
          </w:p>
        </w:tc>
      </w:tr>
      <w:tr w:rsidR="006C13B0" w:rsidRPr="006B2194" w14:paraId="72500311" w14:textId="77777777" w:rsidTr="00DB5E9B">
        <w:trPr>
          <w:trHeight w:val="275"/>
        </w:trPr>
        <w:tc>
          <w:tcPr>
            <w:tcW w:w="325" w:type="pct"/>
            <w:shd w:val="clear" w:color="auto" w:fill="1F4E79" w:themeFill="accent5" w:themeFillShade="80"/>
          </w:tcPr>
          <w:p w14:paraId="4BEF8DBD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6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401D58B0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 xml:space="preserve">Executive, </w:t>
            </w:r>
            <w:proofErr w:type="gramStart"/>
            <w:r w:rsidRPr="006B2194">
              <w:t>middle</w:t>
            </w:r>
            <w:proofErr w:type="gramEnd"/>
            <w:r w:rsidRPr="006B2194">
              <w:t xml:space="preserve"> and front line buy in of the value of L&amp;D activities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40E02749" w14:textId="03CC30FE" w:rsidR="006C13B0" w:rsidRPr="006B2194" w:rsidRDefault="006C13B0" w:rsidP="003710AA">
            <w:pPr>
              <w:spacing w:line="360" w:lineRule="auto"/>
            </w:pPr>
            <w:r w:rsidRPr="00812FFE">
              <w:t>In order for L&amp;D to be successful</w:t>
            </w:r>
            <w:r w:rsidR="00741012">
              <w:t>,</w:t>
            </w:r>
            <w:r w:rsidRPr="00812FFE">
              <w:t xml:space="preserve"> leaders at every level of the organisation need to ‘appreciate’ the need for</w:t>
            </w:r>
            <w:r w:rsidR="00B96A65">
              <w:t xml:space="preserve">, </w:t>
            </w:r>
            <w:r w:rsidR="0013265D">
              <w:t>the</w:t>
            </w:r>
            <w:r w:rsidR="00B96A65">
              <w:t xml:space="preserve"> benefits</w:t>
            </w:r>
            <w:r w:rsidR="000E3044">
              <w:t xml:space="preserve"> </w:t>
            </w:r>
            <w:r w:rsidR="0013265D">
              <w:t xml:space="preserve">of </w:t>
            </w:r>
            <w:r w:rsidR="000E3044">
              <w:t xml:space="preserve">and </w:t>
            </w:r>
            <w:r w:rsidR="0013265D">
              <w:t xml:space="preserve">the </w:t>
            </w:r>
            <w:r w:rsidR="000E3044">
              <w:t>value</w:t>
            </w:r>
            <w:r w:rsidR="00B96A65">
              <w:t xml:space="preserve"> of</w:t>
            </w:r>
            <w:r w:rsidRPr="00812FFE">
              <w:t xml:space="preserve"> </w:t>
            </w:r>
            <w:r w:rsidR="00B96A65">
              <w:t xml:space="preserve">formal and informal </w:t>
            </w:r>
            <w:r w:rsidR="0013265D">
              <w:t>L&amp;D</w:t>
            </w:r>
            <w:r w:rsidR="00B96A65">
              <w:t xml:space="preserve"> activities</w:t>
            </w:r>
            <w:r w:rsidRPr="00812FFE">
              <w:t xml:space="preserve"> at both an organisational and individual level.  </w:t>
            </w:r>
            <w:r w:rsidR="00F42DAB">
              <w:t xml:space="preserve">This was recognised at Avon and Somerset. </w:t>
            </w:r>
            <w:r w:rsidR="00741012">
              <w:t xml:space="preserve">Learning must not be considered </w:t>
            </w:r>
            <w:r w:rsidR="00CC1A1A">
              <w:t>a</w:t>
            </w:r>
            <w:r w:rsidR="003154EA">
              <w:t>s</w:t>
            </w:r>
            <w:r w:rsidR="00CC1A1A">
              <w:t xml:space="preserve"> </w:t>
            </w:r>
            <w:r w:rsidR="00741012">
              <w:t>an abstraction</w:t>
            </w:r>
            <w:r w:rsidR="00CC1A1A">
              <w:t>, but rather an investment</w:t>
            </w:r>
            <w:r w:rsidR="004D624B">
              <w:t xml:space="preserve"> and one which has the ability to directly impact the</w:t>
            </w:r>
            <w:r w:rsidR="00741012">
              <w:t xml:space="preserve"> link between officers feeling competent within their role and their own wellbeing</w:t>
            </w:r>
            <w:r w:rsidR="003154EA">
              <w:t xml:space="preserve">, as well as more effective investigatory and </w:t>
            </w:r>
            <w:r w:rsidR="00F40C13">
              <w:t>victim/survivor outcomes</w:t>
            </w:r>
            <w:r w:rsidR="00741012">
              <w:t>. There are vital links here to organisation health and productivity</w:t>
            </w:r>
            <w:r w:rsidR="00F40C13">
              <w:t>, as well a</w:t>
            </w:r>
            <w:r w:rsidR="00262C75">
              <w:t>s</w:t>
            </w:r>
            <w:r w:rsidR="00F40C13">
              <w:t xml:space="preserve"> legitimacy and </w:t>
            </w:r>
            <w:r w:rsidR="00262C75">
              <w:t>victim/survivor satisfaction</w:t>
            </w:r>
            <w:r w:rsidR="00741012">
              <w:t xml:space="preserve"> in the RASSO context. </w:t>
            </w:r>
          </w:p>
        </w:tc>
      </w:tr>
      <w:tr w:rsidR="006C13B0" w:rsidRPr="006B2194" w14:paraId="4414183A" w14:textId="77777777" w:rsidTr="00DB5E9B">
        <w:trPr>
          <w:trHeight w:val="397"/>
        </w:trPr>
        <w:tc>
          <w:tcPr>
            <w:tcW w:w="325" w:type="pct"/>
            <w:shd w:val="clear" w:color="auto" w:fill="1F4E79" w:themeFill="accent5" w:themeFillShade="80"/>
          </w:tcPr>
          <w:p w14:paraId="0292A46E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7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4EBAD02D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Learning content informed by learning design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6FD11B60" w14:textId="2332DF33" w:rsidR="006C13B0" w:rsidRPr="006B2194" w:rsidRDefault="006C13B0" w:rsidP="003710AA">
            <w:pPr>
              <w:spacing w:line="360" w:lineRule="auto"/>
            </w:pPr>
            <w:r>
              <w:t>Learning content should be derived from and aligned to the requirements it was intended to fulfil.  Understanding th</w:t>
            </w:r>
            <w:r w:rsidR="00494195">
              <w:t>os</w:t>
            </w:r>
            <w:r>
              <w:t>e requirement</w:t>
            </w:r>
            <w:r w:rsidR="00494195">
              <w:t>s</w:t>
            </w:r>
            <w:r>
              <w:t xml:space="preserve"> and aligning the inputs to outcomes and outputs requires a deliberative and critical design process</w:t>
            </w:r>
            <w:r w:rsidR="00494195">
              <w:t xml:space="preserve"> which is supported </w:t>
            </w:r>
            <w:r w:rsidR="00F42DAB">
              <w:t xml:space="preserve">and underpinned </w:t>
            </w:r>
            <w:r w:rsidR="00494195">
              <w:t>by incorporating reflective practice</w:t>
            </w:r>
            <w:r>
              <w:t xml:space="preserve">. </w:t>
            </w:r>
            <w:r w:rsidR="00075830">
              <w:t xml:space="preserve">This process </w:t>
            </w:r>
            <w:r w:rsidR="00075830">
              <w:lastRenderedPageBreak/>
              <w:t xml:space="preserve">should be iterative and informed by the learning needs identified by, changing </w:t>
            </w:r>
            <w:r w:rsidR="00490D1F">
              <w:t xml:space="preserve">RASSO </w:t>
            </w:r>
            <w:r w:rsidR="00075830">
              <w:t>typologies locally, new research in this area the shifting national landscape in this field</w:t>
            </w:r>
            <w:r w:rsidR="004B063D">
              <w:t xml:space="preserve"> including legislation and other options for disrupting suspects</w:t>
            </w:r>
            <w:r w:rsidR="00075830">
              <w:t>.</w:t>
            </w:r>
            <w:r w:rsidR="0021514F">
              <w:t xml:space="preserve"> There are opportunities to use immersive learning</w:t>
            </w:r>
            <w:r w:rsidR="00494195">
              <w:t>,</w:t>
            </w:r>
            <w:r w:rsidR="0021514F">
              <w:t xml:space="preserve"> through</w:t>
            </w:r>
            <w:r w:rsidR="00494195">
              <w:t xml:space="preserve"> for example</w:t>
            </w:r>
            <w:r w:rsidR="0021514F">
              <w:t xml:space="preserve"> Hydra and greater use of body worn camera footage </w:t>
            </w:r>
            <w:r w:rsidR="00490D1F">
              <w:t xml:space="preserve">as </w:t>
            </w:r>
            <w:r w:rsidR="004B063D">
              <w:t xml:space="preserve">real </w:t>
            </w:r>
            <w:r w:rsidR="0021514F">
              <w:t>example</w:t>
            </w:r>
            <w:r w:rsidR="00490D1F">
              <w:t>s</w:t>
            </w:r>
            <w:r w:rsidR="00F42DAB">
              <w:t xml:space="preserve"> and</w:t>
            </w:r>
            <w:r w:rsidR="0021514F">
              <w:t xml:space="preserve"> </w:t>
            </w:r>
            <w:r w:rsidR="00F42DAB">
              <w:t>analytical products to</w:t>
            </w:r>
            <w:r w:rsidR="0021514F">
              <w:t xml:space="preserve"> further understand the outcomes of learning in a practical context.</w:t>
            </w:r>
          </w:p>
        </w:tc>
      </w:tr>
      <w:tr w:rsidR="006C13B0" w:rsidRPr="006B2194" w14:paraId="194D9F21" w14:textId="77777777" w:rsidTr="00DB5E9B">
        <w:trPr>
          <w:trHeight w:val="664"/>
        </w:trPr>
        <w:tc>
          <w:tcPr>
            <w:tcW w:w="325" w:type="pct"/>
            <w:shd w:val="clear" w:color="auto" w:fill="1F4E79" w:themeFill="accent5" w:themeFillShade="80"/>
          </w:tcPr>
          <w:p w14:paraId="51F247B4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8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56B5AE0A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Multi-modal (</w:t>
            </w:r>
            <w:proofErr w:type="spellStart"/>
            <w:r w:rsidRPr="006B2194">
              <w:t>inc</w:t>
            </w:r>
            <w:proofErr w:type="spellEnd"/>
            <w:r w:rsidRPr="006B2194">
              <w:t xml:space="preserve"> digital) design and delivery of and access to L&amp;D offerings to support anyplace anytime learning access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12E293D2" w14:textId="57F62107" w:rsidR="006C13B0" w:rsidRPr="006B2194" w:rsidRDefault="006C13B0" w:rsidP="003710AA">
            <w:pPr>
              <w:spacing w:line="360" w:lineRule="auto"/>
            </w:pPr>
            <w:r w:rsidRPr="00812FFE">
              <w:t>L&amp;D offerings should be available in a variety of formats and accessible on a variety of platforms to suit the learners</w:t>
            </w:r>
            <w:r w:rsidR="002C492F">
              <w:t>’</w:t>
            </w:r>
            <w:r w:rsidRPr="00812FFE">
              <w:t xml:space="preserve"> diverse </w:t>
            </w:r>
            <w:r w:rsidR="002E51D7">
              <w:t xml:space="preserve">circumstances, </w:t>
            </w:r>
            <w:r w:rsidRPr="00812FFE">
              <w:t>requirements,</w:t>
            </w:r>
            <w:r w:rsidR="002E51D7">
              <w:t xml:space="preserve"> and learning styles. A</w:t>
            </w:r>
            <w:r w:rsidRPr="00812FFE">
              <w:t>ccess should be available anyplace and anytime to facilitate different learning habits and requirements, as well as learning</w:t>
            </w:r>
            <w:r w:rsidR="00A33711">
              <w:t>, both mandated and self-directed,</w:t>
            </w:r>
            <w:r w:rsidRPr="00812FFE">
              <w:t xml:space="preserve"> </w:t>
            </w:r>
            <w:proofErr w:type="gramStart"/>
            <w:r w:rsidRPr="00812FFE">
              <w:t>inside</w:t>
            </w:r>
            <w:proofErr w:type="gramEnd"/>
            <w:r w:rsidRPr="00812FFE">
              <w:t xml:space="preserve"> and outside of the work environment.</w:t>
            </w:r>
          </w:p>
        </w:tc>
      </w:tr>
      <w:tr w:rsidR="006C13B0" w:rsidRPr="006B2194" w14:paraId="5EE0CC99" w14:textId="77777777" w:rsidTr="00DB5E9B">
        <w:trPr>
          <w:trHeight w:val="656"/>
        </w:trPr>
        <w:tc>
          <w:tcPr>
            <w:tcW w:w="325" w:type="pct"/>
            <w:shd w:val="clear" w:color="auto" w:fill="1F4E79" w:themeFill="accent5" w:themeFillShade="80"/>
          </w:tcPr>
          <w:p w14:paraId="51DE8589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9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60B5BCB9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Clear signposting to development and learning resources to empower users to take ownership of L&amp;D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3715EAE3" w14:textId="0B5FE179" w:rsidR="006C13B0" w:rsidRPr="006B2194" w:rsidRDefault="006C13B0" w:rsidP="003710AA">
            <w:pPr>
              <w:spacing w:line="360" w:lineRule="auto"/>
            </w:pPr>
            <w:r w:rsidRPr="00812FFE">
              <w:t xml:space="preserve">Ensuring that learners within organisations can find, </w:t>
            </w:r>
            <w:proofErr w:type="gramStart"/>
            <w:r w:rsidRPr="00812FFE">
              <w:t>access</w:t>
            </w:r>
            <w:proofErr w:type="gramEnd"/>
            <w:r w:rsidRPr="00812FFE">
              <w:t xml:space="preserve"> and use learning resources is a key first step to creating a culture of personal responsibility for lifelong learning</w:t>
            </w:r>
            <w:r w:rsidR="00D01E10">
              <w:t xml:space="preserve">. This is a </w:t>
            </w:r>
            <w:r w:rsidRPr="00812FFE">
              <w:t>mark of organisations who prioritise and encourage learning and development opportunities.</w:t>
            </w:r>
            <w:r w:rsidR="00D01E10">
              <w:t xml:space="preserve"> </w:t>
            </w:r>
          </w:p>
        </w:tc>
      </w:tr>
      <w:tr w:rsidR="006C13B0" w:rsidRPr="006B2194" w14:paraId="41B34E26" w14:textId="77777777" w:rsidTr="00DB5E9B">
        <w:trPr>
          <w:trHeight w:val="405"/>
        </w:trPr>
        <w:tc>
          <w:tcPr>
            <w:tcW w:w="325" w:type="pct"/>
            <w:shd w:val="clear" w:color="auto" w:fill="1F4E79" w:themeFill="accent5" w:themeFillShade="80"/>
          </w:tcPr>
          <w:p w14:paraId="7115E405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10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6FD976DE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Three-fold Quality Assurance: a) of design b) of delivery c) of impact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3E35A646" w14:textId="77777777" w:rsidR="006C13B0" w:rsidRDefault="006C13B0" w:rsidP="003710AA">
            <w:pPr>
              <w:spacing w:line="360" w:lineRule="auto"/>
            </w:pPr>
            <w:r w:rsidRPr="00812FFE">
              <w:t>All stages of L&amp;D activity should be subject to independent QA, so that the quality, effect and efficacy of the design delivery and impacts are understood.</w:t>
            </w:r>
          </w:p>
          <w:p w14:paraId="5CBFFD48" w14:textId="4F32C4ED" w:rsidR="007C2D8D" w:rsidRDefault="007C2D8D" w:rsidP="003710AA">
            <w:pPr>
              <w:spacing w:line="360" w:lineRule="auto"/>
            </w:pPr>
            <w:r>
              <w:t>This could involve outside experts with an understanding in rape research content and/or methods of blended and immersive learning</w:t>
            </w:r>
            <w:r w:rsidR="004556F4">
              <w:t xml:space="preserve"> supporting internal learning delivery</w:t>
            </w:r>
            <w:r>
              <w:t xml:space="preserve">. </w:t>
            </w:r>
          </w:p>
          <w:p w14:paraId="7D2A5239" w14:textId="4C0593CA" w:rsidR="00D3219A" w:rsidRDefault="00D3219A" w:rsidP="003710AA">
            <w:pPr>
              <w:spacing w:line="360" w:lineRule="auto"/>
            </w:pPr>
            <w:r>
              <w:lastRenderedPageBreak/>
              <w:t>As Stanko and Hohl (2018) argue</w:t>
            </w:r>
            <w:r w:rsidR="0021711E">
              <w:t>,</w:t>
            </w:r>
            <w:r>
              <w:t xml:space="preserve"> there needs to be an understanding of the insight from both police experience and academic perspectives, to value both craft and science. The co-production of the content and approach to RASSO training will allow for the necessary challenge and reflections required in this learning space. </w:t>
            </w:r>
          </w:p>
          <w:p w14:paraId="04B227F3" w14:textId="6ABF15DC" w:rsidR="002C2738" w:rsidRPr="006B2194" w:rsidRDefault="002C2738" w:rsidP="003710AA">
            <w:pPr>
              <w:spacing w:line="360" w:lineRule="auto"/>
            </w:pPr>
            <w:r>
              <w:t xml:space="preserve">Equally importantly it is necessary to understand what </w:t>
            </w:r>
            <w:r w:rsidR="0041226A">
              <w:t xml:space="preserve">was intended to be taught (design), whether it was effectively delivered to its intended audience (delivery) </w:t>
            </w:r>
            <w:r w:rsidR="00230407">
              <w:t>and how this learning impacts the performance of practitioners and the experience of victi</w:t>
            </w:r>
            <w:r w:rsidR="00EA4586">
              <w:t>ms and survivors (impact).</w:t>
            </w:r>
          </w:p>
        </w:tc>
      </w:tr>
      <w:tr w:rsidR="006C13B0" w:rsidRPr="006B2194" w14:paraId="53D4EDD5" w14:textId="77777777" w:rsidTr="00DB5E9B">
        <w:trPr>
          <w:trHeight w:val="397"/>
        </w:trPr>
        <w:tc>
          <w:tcPr>
            <w:tcW w:w="325" w:type="pct"/>
            <w:shd w:val="clear" w:color="auto" w:fill="1F4E79" w:themeFill="accent5" w:themeFillShade="80"/>
          </w:tcPr>
          <w:p w14:paraId="16C9DC7A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11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591BF189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Risk aligned levels of QA scrutiny and complexity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200DFDF9" w14:textId="6C7FDE5B" w:rsidR="006C13B0" w:rsidRPr="006B2194" w:rsidRDefault="006C13B0" w:rsidP="003710AA">
            <w:pPr>
              <w:spacing w:line="360" w:lineRule="auto"/>
            </w:pPr>
            <w:r w:rsidRPr="00812FFE">
              <w:t xml:space="preserve">In an environment of finite resources ensuring that the greatest depth, </w:t>
            </w:r>
            <w:r w:rsidR="00D3219A" w:rsidRPr="00812FFE">
              <w:t>breadth,</w:t>
            </w:r>
            <w:r w:rsidRPr="00812FFE">
              <w:t xml:space="preserve"> and detail of scrutiny is aligned to the highest risk areas ensures that QA activity is appropriately focussed on business and risk priority areas</w:t>
            </w:r>
            <w:r w:rsidR="00D01E10">
              <w:t xml:space="preserve">. </w:t>
            </w:r>
            <w:r w:rsidR="005947D0">
              <w:t>RASSO</w:t>
            </w:r>
            <w:r w:rsidR="00E90F0F">
              <w:t xml:space="preserve"> training and learning approaches</w:t>
            </w:r>
            <w:r w:rsidR="00D01E10">
              <w:t xml:space="preserve"> should be one of these priority area</w:t>
            </w:r>
            <w:r w:rsidR="000536C9">
              <w:t>s and thus commensurate effort should be expended in</w:t>
            </w:r>
            <w:r w:rsidR="00522F49">
              <w:t xml:space="preserve"> quality assuring learning approaches in this area</w:t>
            </w:r>
            <w:r w:rsidR="00D01E10">
              <w:t xml:space="preserve">. </w:t>
            </w:r>
          </w:p>
        </w:tc>
      </w:tr>
      <w:tr w:rsidR="006C13B0" w:rsidRPr="006B2194" w14:paraId="0967FF40" w14:textId="77777777" w:rsidTr="00DB5E9B">
        <w:trPr>
          <w:trHeight w:val="351"/>
        </w:trPr>
        <w:tc>
          <w:tcPr>
            <w:tcW w:w="325" w:type="pct"/>
            <w:shd w:val="clear" w:color="auto" w:fill="1F4E79" w:themeFill="accent5" w:themeFillShade="80"/>
          </w:tcPr>
          <w:p w14:paraId="2AB4DCF2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12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778CFE36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Embedded and effective feedback culture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6467EFA4" w14:textId="2BDF1197" w:rsidR="0021514F" w:rsidRDefault="006C13B0" w:rsidP="003710AA">
            <w:pPr>
              <w:spacing w:line="360" w:lineRule="auto"/>
            </w:pPr>
            <w:r>
              <w:t xml:space="preserve">Creating a safe organisational environment where </w:t>
            </w:r>
            <w:r w:rsidR="00D01E10">
              <w:t>challenges</w:t>
            </w:r>
            <w:r w:rsidR="00522F49">
              <w:t>, mistakes</w:t>
            </w:r>
            <w:r w:rsidR="00D01E10">
              <w:t xml:space="preserve"> and </w:t>
            </w:r>
            <w:r>
              <w:t>errors (both human and systemic) can be openly aired and discussed, good practice recognised and assessed for replication, and personal and organisational learning can take place</w:t>
            </w:r>
            <w:r w:rsidR="00957427">
              <w:t xml:space="preserve"> in a safe environment</w:t>
            </w:r>
            <w:r>
              <w:t xml:space="preserve"> is a critical component of creating a</w:t>
            </w:r>
            <w:r w:rsidR="00866A1C">
              <w:t xml:space="preserve"> situation </w:t>
            </w:r>
            <w:r>
              <w:t xml:space="preserve">where </w:t>
            </w:r>
            <w:r w:rsidR="00866A1C">
              <w:t xml:space="preserve">cycles of </w:t>
            </w:r>
            <w:r>
              <w:t xml:space="preserve">reflective practice and ongoing learning can take place.   It also supports the development of </w:t>
            </w:r>
            <w:r w:rsidR="00BE2A76">
              <w:t xml:space="preserve">policing as a </w:t>
            </w:r>
            <w:r>
              <w:t>learning organisation.</w:t>
            </w:r>
            <w:r w:rsidR="00D01E10">
              <w:t xml:space="preserve"> This is strongly recommended through the development of the </w:t>
            </w:r>
            <w:r w:rsidR="00D01E10">
              <w:lastRenderedPageBreak/>
              <w:t xml:space="preserve">case review process and the reflective practice points </w:t>
            </w:r>
            <w:r w:rsidR="00BE2A76">
              <w:t>it sets out</w:t>
            </w:r>
            <w:r w:rsidR="0021514F">
              <w:t xml:space="preserve"> for the investigati</w:t>
            </w:r>
            <w:r w:rsidR="0034374A">
              <w:t>ve</w:t>
            </w:r>
            <w:r w:rsidR="0021514F">
              <w:t xml:space="preserve"> team</w:t>
            </w:r>
            <w:r w:rsidR="0034374A">
              <w:t>s</w:t>
            </w:r>
            <w:r w:rsidR="00D01E10">
              <w:t>.</w:t>
            </w:r>
          </w:p>
          <w:p w14:paraId="770156B3" w14:textId="51094618" w:rsidR="006C13B0" w:rsidRPr="006B2194" w:rsidRDefault="0021514F" w:rsidP="003710AA">
            <w:pPr>
              <w:spacing w:line="360" w:lineRule="auto"/>
            </w:pPr>
            <w:r>
              <w:t>There are additional opportunities to invite other</w:t>
            </w:r>
            <w:r w:rsidR="000D00A4">
              <w:t>s, including colleagues and partners</w:t>
            </w:r>
            <w:r w:rsidR="007A78BC">
              <w:t xml:space="preserve">, </w:t>
            </w:r>
            <w:r>
              <w:t xml:space="preserve">to </w:t>
            </w:r>
            <w:r w:rsidR="0034374A">
              <w:t xml:space="preserve">support </w:t>
            </w:r>
            <w:r w:rsidR="000D00A4">
              <w:t xml:space="preserve">feedback and reflective practice </w:t>
            </w:r>
            <w:r w:rsidR="007A78BC">
              <w:t xml:space="preserve">activity </w:t>
            </w:r>
            <w:r>
              <w:t xml:space="preserve">such as </w:t>
            </w:r>
            <w:r w:rsidR="00F42DAB" w:rsidRPr="00F42DAB">
              <w:t>the Police</w:t>
            </w:r>
            <w:r w:rsidR="00494195" w:rsidRPr="00F42DAB">
              <w:t xml:space="preserve"> Constable Degree</w:t>
            </w:r>
            <w:r w:rsidR="00494195" w:rsidRPr="00494195">
              <w:t xml:space="preserve"> Apprenticeship </w:t>
            </w:r>
            <w:r w:rsidR="00494195">
              <w:t>(</w:t>
            </w:r>
            <w:r>
              <w:t>P</w:t>
            </w:r>
            <w:r w:rsidR="00F42DAB">
              <w:t>CDA</w:t>
            </w:r>
            <w:r w:rsidR="00494195">
              <w:t>)</w:t>
            </w:r>
            <w:r>
              <w:t xml:space="preserve"> cohort</w:t>
            </w:r>
            <w:r w:rsidR="007E5CE7">
              <w:t>s</w:t>
            </w:r>
            <w:r>
              <w:t xml:space="preserve">. This would allow them to </w:t>
            </w:r>
            <w:r w:rsidR="007E5CE7">
              <w:t xml:space="preserve">contextualise and </w:t>
            </w:r>
            <w:r>
              <w:t xml:space="preserve">consider their learning on vulnerability and victim care </w:t>
            </w:r>
            <w:r w:rsidR="007E5CE7">
              <w:t xml:space="preserve">from </w:t>
            </w:r>
            <w:r>
              <w:t>in practice</w:t>
            </w:r>
            <w:r w:rsidR="007E5CE7">
              <w:t xml:space="preserve"> learning</w:t>
            </w:r>
            <w:r>
              <w:t xml:space="preserve"> and therefore</w:t>
            </w:r>
            <w:r w:rsidR="007A081E">
              <w:t xml:space="preserve"> support the</w:t>
            </w:r>
            <w:r>
              <w:t xml:space="preserve"> </w:t>
            </w:r>
            <w:r w:rsidR="007A081E">
              <w:t xml:space="preserve">further </w:t>
            </w:r>
            <w:r>
              <w:t>embed</w:t>
            </w:r>
            <w:r w:rsidR="007A081E">
              <w:t>ding of</w:t>
            </w:r>
            <w:r>
              <w:t xml:space="preserve"> their learning. </w:t>
            </w:r>
            <w:r w:rsidR="00D01E10">
              <w:t xml:space="preserve"> </w:t>
            </w:r>
          </w:p>
        </w:tc>
      </w:tr>
      <w:tr w:rsidR="006C13B0" w:rsidRPr="006B2194" w14:paraId="46A14440" w14:textId="77777777" w:rsidTr="00DB5E9B">
        <w:trPr>
          <w:trHeight w:val="724"/>
        </w:trPr>
        <w:tc>
          <w:tcPr>
            <w:tcW w:w="325" w:type="pct"/>
            <w:shd w:val="clear" w:color="auto" w:fill="1F4E79" w:themeFill="accent5" w:themeFillShade="80"/>
          </w:tcPr>
          <w:p w14:paraId="75B7F537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13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2D473D50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L&amp;D personnel selected for aptitude and potential and provided with training and skills via appropriate learning pathways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2107E322" w14:textId="42223683" w:rsidR="006C13B0" w:rsidRPr="006B2194" w:rsidRDefault="006C13B0" w:rsidP="003710AA">
            <w:pPr>
              <w:spacing w:line="360" w:lineRule="auto"/>
            </w:pPr>
            <w:r>
              <w:t>L&amp;D skills can be taught</w:t>
            </w:r>
            <w:r w:rsidR="00D01E10">
              <w:t xml:space="preserve">. </w:t>
            </w:r>
            <w:r w:rsidR="0021514F">
              <w:t>However,</w:t>
            </w:r>
            <w:r w:rsidR="00D01E10">
              <w:t xml:space="preserve"> the</w:t>
            </w:r>
            <w:r>
              <w:t xml:space="preserve"> aptitude and attitude to be an effective L&amp;D professional </w:t>
            </w:r>
            <w:r w:rsidR="00D01E10">
              <w:t xml:space="preserve">is </w:t>
            </w:r>
            <w:r>
              <w:t xml:space="preserve">more difficult to instil.  It is suggested that 1) there should be learning pathways designed and available for L&amp;D strategic and tactical professionals to access throughout their careers to facilitate their personal and professional development, and </w:t>
            </w:r>
            <w:r w:rsidR="00D01E10">
              <w:t xml:space="preserve"> </w:t>
            </w:r>
            <w:r>
              <w:t xml:space="preserve">2) when recruiting </w:t>
            </w:r>
            <w:r w:rsidR="00D01E10">
              <w:t xml:space="preserve">staff </w:t>
            </w:r>
            <w:r>
              <w:t>recognise that aptitude may be more important than apparent qualification level, especially if element 1 is in place to provide access to the necessary technical knowledge and skills required.</w:t>
            </w:r>
            <w:r w:rsidR="00D01E10">
              <w:t xml:space="preserve"> Individuals understanding of the iterative process of learning, blended </w:t>
            </w:r>
            <w:r w:rsidR="0021514F">
              <w:t>learning,</w:t>
            </w:r>
            <w:r w:rsidR="00D01E10">
              <w:t xml:space="preserve"> and the application of learning to assess outcomes should be prioritised. </w:t>
            </w:r>
          </w:p>
        </w:tc>
      </w:tr>
      <w:tr w:rsidR="006C13B0" w:rsidRPr="006B2194" w14:paraId="4E4F25C9" w14:textId="77777777" w:rsidTr="00DB5E9B">
        <w:trPr>
          <w:trHeight w:val="735"/>
        </w:trPr>
        <w:tc>
          <w:tcPr>
            <w:tcW w:w="325" w:type="pct"/>
            <w:shd w:val="clear" w:color="auto" w:fill="1F4E79" w:themeFill="accent5" w:themeFillShade="80"/>
          </w:tcPr>
          <w:p w14:paraId="33C42E3B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14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082E6541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 xml:space="preserve">L&amp;D strategic activity informed by, and delivery undertaken by, individuals with appropriate L&amp;D experience and qualifications 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76EF1D97" w14:textId="2C5AACFC" w:rsidR="006C13B0" w:rsidRPr="006B2194" w:rsidRDefault="006C13B0" w:rsidP="003710AA">
            <w:pPr>
              <w:spacing w:line="360" w:lineRule="auto"/>
            </w:pPr>
            <w:r w:rsidRPr="00FE1598">
              <w:t>Strategic level L&amp;D activity and planning should be informed by suitably qualified and experienced L&amp;D professionals</w:t>
            </w:r>
            <w:r w:rsidR="00D01E10">
              <w:t xml:space="preserve">. This might involve the input experts in a training capacity to discuss methods of case reviews in the learning process and other ‘real life’ case information to think through </w:t>
            </w:r>
            <w:r w:rsidR="00D01E10">
              <w:lastRenderedPageBreak/>
              <w:t>decision making, the type of knowledge being applied</w:t>
            </w:r>
            <w:r w:rsidR="00347D06">
              <w:t>,</w:t>
            </w:r>
            <w:r w:rsidR="00D01E10">
              <w:t xml:space="preserve"> where things might be done differently</w:t>
            </w:r>
            <w:r w:rsidR="00F94A05">
              <w:t>, and how to best translate that information into appropriate learning approaches</w:t>
            </w:r>
            <w:r w:rsidR="00D01E10">
              <w:t xml:space="preserve">. These methods encourage learning in practice and </w:t>
            </w:r>
            <w:r w:rsidR="002F6BA9">
              <w:t xml:space="preserve">support </w:t>
            </w:r>
            <w:r w:rsidR="00D01E10">
              <w:t>mov</w:t>
            </w:r>
            <w:r w:rsidR="002F6BA9">
              <w:t>ing from</w:t>
            </w:r>
            <w:r w:rsidR="00D01E10">
              <w:t xml:space="preserve"> training </w:t>
            </w:r>
            <w:r w:rsidR="00D5726C">
              <w:t>by face to face</w:t>
            </w:r>
            <w:r w:rsidR="00D01E10">
              <w:t xml:space="preserve"> upfront delivery to</w:t>
            </w:r>
            <w:r w:rsidR="00D5726C">
              <w:t xml:space="preserve"> more blended and </w:t>
            </w:r>
            <w:r w:rsidR="00D01E10">
              <w:t xml:space="preserve">embedded learning. </w:t>
            </w:r>
            <w:r w:rsidRPr="00FE1598">
              <w:t xml:space="preserve">   </w:t>
            </w:r>
            <w:r w:rsidR="00F816A7">
              <w:t>Decisions around the d</w:t>
            </w:r>
            <w:r w:rsidRPr="00FE1598">
              <w:t xml:space="preserve">elivery of L&amp;D activities should always be </w:t>
            </w:r>
            <w:r w:rsidR="0046744C">
              <w:t xml:space="preserve">made by or </w:t>
            </w:r>
            <w:r w:rsidR="00F816A7">
              <w:t>supported</w:t>
            </w:r>
            <w:r w:rsidRPr="00FE1598">
              <w:t xml:space="preserve"> by suitably experienced and qualified individuals</w:t>
            </w:r>
            <w:r w:rsidR="00041C7C">
              <w:t xml:space="preserve">, potentially </w:t>
            </w:r>
            <w:r w:rsidR="0046744C">
              <w:t>fulfilling the role of</w:t>
            </w:r>
            <w:r w:rsidR="00041C7C">
              <w:t xml:space="preserve"> learning tactical advisors to senior decision makers</w:t>
            </w:r>
            <w:r w:rsidR="0046744C">
              <w:t xml:space="preserve"> where necessary</w:t>
            </w:r>
            <w:r w:rsidRPr="00FE1598">
              <w:t>. </w:t>
            </w:r>
          </w:p>
        </w:tc>
      </w:tr>
      <w:tr w:rsidR="006C13B0" w:rsidRPr="006B2194" w14:paraId="270A5A52" w14:textId="77777777" w:rsidTr="00DB5E9B">
        <w:trPr>
          <w:trHeight w:val="656"/>
        </w:trPr>
        <w:tc>
          <w:tcPr>
            <w:tcW w:w="325" w:type="pct"/>
            <w:shd w:val="clear" w:color="auto" w:fill="1F4E79" w:themeFill="accent5" w:themeFillShade="80"/>
          </w:tcPr>
          <w:p w14:paraId="4D697AA4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15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6292D19F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Key partners and authorising authorities are engaged and supportive (College of Policing, NPCC, Home Office, PCCs, Local Govt partners, etc)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3580BE1E" w14:textId="1F78DCE6" w:rsidR="006C13B0" w:rsidRPr="006B2194" w:rsidRDefault="002A5EC3" w:rsidP="003710AA">
            <w:pPr>
              <w:spacing w:line="360" w:lineRule="auto"/>
            </w:pPr>
            <w:r>
              <w:t>Where relevant engage other agencies such as the College of Policing, CPS, ISVAs, subject experts (including academics), partners</w:t>
            </w:r>
            <w:r w:rsidR="00DF0B95">
              <w:t>, and victims and survivors of RASSO</w:t>
            </w:r>
            <w:r w:rsidR="00306DA2">
              <w:t xml:space="preserve"> where appropriate</w:t>
            </w:r>
            <w:r>
              <w:t>. Consider joint</w:t>
            </w:r>
            <w:r w:rsidR="000074BC">
              <w:t>ly</w:t>
            </w:r>
            <w:r w:rsidR="00306DA2">
              <w:t xml:space="preserve"> develop</w:t>
            </w:r>
            <w:r w:rsidR="000074BC">
              <w:t xml:space="preserve">ing </w:t>
            </w:r>
            <w:r w:rsidR="00ED7D24">
              <w:t>and</w:t>
            </w:r>
            <w:r>
              <w:t xml:space="preserve"> </w:t>
            </w:r>
            <w:r w:rsidR="000074BC">
              <w:t>deliver</w:t>
            </w:r>
            <w:r w:rsidR="00F612E8">
              <w:t>ing</w:t>
            </w:r>
            <w:r w:rsidR="000074BC">
              <w:t xml:space="preserve"> </w:t>
            </w:r>
            <w:r>
              <w:t>training in relevant sections of the learning process to enable more thoughtful</w:t>
            </w:r>
            <w:r w:rsidR="00ED7D24">
              <w:t xml:space="preserve">, informed and </w:t>
            </w:r>
            <w:r w:rsidR="000074BC">
              <w:t>evidence-based</w:t>
            </w:r>
            <w:r>
              <w:t xml:space="preserve"> </w:t>
            </w:r>
            <w:r w:rsidR="002E55CE">
              <w:t>understanding of</w:t>
            </w:r>
            <w:r>
              <w:t xml:space="preserve"> vulnerability, offending </w:t>
            </w:r>
            <w:r w:rsidR="0021514F">
              <w:t>behaviour,</w:t>
            </w:r>
            <w:r>
              <w:t xml:space="preserve"> </w:t>
            </w:r>
            <w:r w:rsidR="005E5E48">
              <w:t xml:space="preserve">the impact of investigative approaches (on perpetrators and victims and survivors) </w:t>
            </w:r>
            <w:r>
              <w:t xml:space="preserve">and patterns of </w:t>
            </w:r>
            <w:r w:rsidR="00ED7D24">
              <w:t>RASSO</w:t>
            </w:r>
            <w:r>
              <w:t xml:space="preserve"> cases.  </w:t>
            </w:r>
            <w:r w:rsidR="006C13B0" w:rsidRPr="00FE1598">
              <w:t xml:space="preserve"> </w:t>
            </w:r>
            <w:r>
              <w:t xml:space="preserve"> E</w:t>
            </w:r>
            <w:r w:rsidR="006C13B0" w:rsidRPr="00FE1598">
              <w:t xml:space="preserve">xternal partners </w:t>
            </w:r>
            <w:r>
              <w:t xml:space="preserve">are </w:t>
            </w:r>
            <w:r w:rsidR="00F612E8">
              <w:t xml:space="preserve">a </w:t>
            </w:r>
            <w:r>
              <w:t>vital</w:t>
            </w:r>
            <w:r w:rsidR="00F612E8">
              <w:t xml:space="preserve"> resource</w:t>
            </w:r>
            <w:r>
              <w:t xml:space="preserve"> </w:t>
            </w:r>
            <w:r w:rsidR="0021514F">
              <w:t>within the</w:t>
            </w:r>
            <w:r>
              <w:t xml:space="preserve"> investigation of </w:t>
            </w:r>
            <w:r w:rsidR="00566E1F">
              <w:t>RASSO.  They have</w:t>
            </w:r>
            <w:r w:rsidR="0032428D">
              <w:t xml:space="preserve"> potentially much to contribute to the development of </w:t>
            </w:r>
            <w:r w:rsidR="00F86039">
              <w:t xml:space="preserve">greater understanding, </w:t>
            </w:r>
            <w:r w:rsidR="00462396">
              <w:t xml:space="preserve">and thus the creation of </w:t>
            </w:r>
            <w:r w:rsidR="00F86039">
              <w:t>opportunities for learning and improved outcomes for victims and survivors</w:t>
            </w:r>
            <w:r w:rsidR="006C13B0" w:rsidRPr="00FE1598">
              <w:t>.</w:t>
            </w:r>
          </w:p>
        </w:tc>
      </w:tr>
      <w:tr w:rsidR="006C13B0" w:rsidRPr="006B2194" w14:paraId="12F80F3B" w14:textId="77777777" w:rsidTr="00DB5E9B">
        <w:trPr>
          <w:trHeight w:val="292"/>
        </w:trPr>
        <w:tc>
          <w:tcPr>
            <w:tcW w:w="325" w:type="pct"/>
            <w:shd w:val="clear" w:color="auto" w:fill="1F4E79" w:themeFill="accent5" w:themeFillShade="80"/>
          </w:tcPr>
          <w:p w14:paraId="5337B1F6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16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1AB310B9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Organisational and personal reflective practice embedded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62954154" w14:textId="19DA14CD" w:rsidR="006C13B0" w:rsidRPr="006B2194" w:rsidRDefault="006C13B0" w:rsidP="003710AA">
            <w:pPr>
              <w:spacing w:line="360" w:lineRule="auto"/>
            </w:pPr>
            <w:r w:rsidRPr="00FE1598">
              <w:t xml:space="preserve">Reflective practice is a core requirement for personal and organisational learning and is identified as a central tenant of </w:t>
            </w:r>
            <w:r w:rsidR="009B0102">
              <w:t xml:space="preserve">creating more </w:t>
            </w:r>
            <w:r w:rsidRPr="00FE1598">
              <w:t xml:space="preserve">professional organisations and practice.  This </w:t>
            </w:r>
            <w:r w:rsidRPr="00FE1598">
              <w:lastRenderedPageBreak/>
              <w:t>requires going beyond ‘feedback'</w:t>
            </w:r>
            <w:r w:rsidR="0021514F">
              <w:t xml:space="preserve"> and features as </w:t>
            </w:r>
            <w:r w:rsidR="008F1371">
              <w:t xml:space="preserve">a </w:t>
            </w:r>
            <w:r w:rsidR="0021514F">
              <w:t>central</w:t>
            </w:r>
            <w:r w:rsidR="008F1371">
              <w:t xml:space="preserve"> tenant of the</w:t>
            </w:r>
            <w:r w:rsidR="0021514F">
              <w:t xml:space="preserve"> case review process for rape investigations</w:t>
            </w:r>
            <w:r w:rsidR="001F656F">
              <w:t xml:space="preserve"> recommended by this research</w:t>
            </w:r>
            <w:r w:rsidR="0021514F">
              <w:t xml:space="preserve">. </w:t>
            </w:r>
          </w:p>
        </w:tc>
      </w:tr>
      <w:tr w:rsidR="006C13B0" w:rsidRPr="006B2194" w14:paraId="70CBDB37" w14:textId="77777777" w:rsidTr="00DB5E9B">
        <w:trPr>
          <w:trHeight w:val="375"/>
        </w:trPr>
        <w:tc>
          <w:tcPr>
            <w:tcW w:w="325" w:type="pct"/>
            <w:shd w:val="clear" w:color="auto" w:fill="1F4E79" w:themeFill="accent5" w:themeFillShade="80"/>
          </w:tcPr>
          <w:p w14:paraId="516D0A7F" w14:textId="77777777" w:rsidR="006C13B0" w:rsidRPr="006B2194" w:rsidRDefault="006C13B0" w:rsidP="003710AA">
            <w:pPr>
              <w:spacing w:after="160" w:line="360" w:lineRule="auto"/>
              <w:rPr>
                <w:b/>
              </w:rPr>
            </w:pPr>
            <w:r w:rsidRPr="006B2194">
              <w:rPr>
                <w:b/>
              </w:rPr>
              <w:t>17</w:t>
            </w:r>
          </w:p>
        </w:tc>
        <w:tc>
          <w:tcPr>
            <w:tcW w:w="2044" w:type="pct"/>
            <w:shd w:val="clear" w:color="auto" w:fill="D9D9D9" w:themeFill="background1" w:themeFillShade="D9"/>
          </w:tcPr>
          <w:p w14:paraId="5F388F97" w14:textId="77777777" w:rsidR="006C13B0" w:rsidRPr="006B2194" w:rsidRDefault="006C13B0" w:rsidP="003710AA">
            <w:pPr>
              <w:spacing w:after="160" w:line="360" w:lineRule="auto"/>
            </w:pPr>
            <w:r w:rsidRPr="006B2194">
              <w:t>External and internal Value creation</w:t>
            </w:r>
          </w:p>
        </w:tc>
        <w:tc>
          <w:tcPr>
            <w:tcW w:w="2631" w:type="pct"/>
            <w:shd w:val="clear" w:color="auto" w:fill="D9D9D9" w:themeFill="background1" w:themeFillShade="D9"/>
          </w:tcPr>
          <w:p w14:paraId="17E96B73" w14:textId="27DEA856" w:rsidR="006C13B0" w:rsidRPr="006B2194" w:rsidRDefault="006C13B0" w:rsidP="003710AA">
            <w:pPr>
              <w:spacing w:line="360" w:lineRule="auto"/>
            </w:pPr>
            <w:r w:rsidRPr="00FE1598">
              <w:t xml:space="preserve">Often systems and processes </w:t>
            </w:r>
            <w:r w:rsidR="00F85889">
              <w:t xml:space="preserve">within policing </w:t>
            </w:r>
            <w:r w:rsidRPr="00FE1598">
              <w:t xml:space="preserve">are internally focused and </w:t>
            </w:r>
            <w:r w:rsidR="00F10F54">
              <w:t xml:space="preserve">sometimes </w:t>
            </w:r>
            <w:r w:rsidRPr="00FE1598">
              <w:t>do not</w:t>
            </w:r>
            <w:r w:rsidR="004E3314">
              <w:t xml:space="preserve"> effectively</w:t>
            </w:r>
            <w:r w:rsidR="00B31DB9">
              <w:t xml:space="preserve"> or adequately</w:t>
            </w:r>
            <w:r w:rsidRPr="00FE1598">
              <w:t xml:space="preserve"> </w:t>
            </w:r>
            <w:r w:rsidR="00F85889">
              <w:t xml:space="preserve">consider </w:t>
            </w:r>
            <w:r w:rsidRPr="00FE1598">
              <w:t>external users and recipients of services (the publics</w:t>
            </w:r>
            <w:r w:rsidR="00387767">
              <w:t>, or in this case victims and survivors of RASSO</w:t>
            </w:r>
            <w:r w:rsidRPr="00FE1598">
              <w:t>)</w:t>
            </w:r>
            <w:r w:rsidR="004E3314">
              <w:t xml:space="preserve">.   The DM is explicitly designed to link </w:t>
            </w:r>
            <w:r w:rsidR="005075DF" w:rsidRPr="00FE1598">
              <w:t>L&amp;D</w:t>
            </w:r>
            <w:r w:rsidR="005075DF">
              <w:t xml:space="preserve"> </w:t>
            </w:r>
            <w:r w:rsidR="004E3314">
              <w:t>a</w:t>
            </w:r>
            <w:r w:rsidR="004E3314" w:rsidRPr="00FE1598">
              <w:t>ctivity</w:t>
            </w:r>
            <w:r w:rsidR="004E3314">
              <w:t>,</w:t>
            </w:r>
            <w:r w:rsidR="003710AA">
              <w:t xml:space="preserve"> individual capacity and capability</w:t>
            </w:r>
            <w:r w:rsidR="002F414B">
              <w:t>,</w:t>
            </w:r>
            <w:r w:rsidR="00671ED6">
              <w:t xml:space="preserve"> the wider policing </w:t>
            </w:r>
            <w:proofErr w:type="gramStart"/>
            <w:r w:rsidR="00671ED6">
              <w:t>organizations</w:t>
            </w:r>
            <w:proofErr w:type="gramEnd"/>
            <w:r w:rsidR="00671ED6">
              <w:t xml:space="preserve"> </w:t>
            </w:r>
            <w:r w:rsidR="00387767">
              <w:t>and</w:t>
            </w:r>
            <w:r w:rsidR="00671ED6">
              <w:t xml:space="preserve"> the external space</w:t>
            </w:r>
            <w:r w:rsidR="000C64AC">
              <w:t>s</w:t>
            </w:r>
            <w:r w:rsidR="00671ED6">
              <w:t xml:space="preserve"> where the publics </w:t>
            </w:r>
            <w:r w:rsidR="00A16B0B">
              <w:t xml:space="preserve">experience the effect and </w:t>
            </w:r>
            <w:proofErr w:type="spellStart"/>
            <w:r w:rsidR="00A16B0B">
              <w:t>affect</w:t>
            </w:r>
            <w:proofErr w:type="spellEnd"/>
            <w:r w:rsidR="00A16B0B">
              <w:t xml:space="preserve"> of policing</w:t>
            </w:r>
            <w:r w:rsidR="000C64AC">
              <w:t xml:space="preserve"> activity</w:t>
            </w:r>
            <w:r w:rsidR="00A16B0B">
              <w:t xml:space="preserve">. </w:t>
            </w:r>
            <w:r w:rsidR="004E3314" w:rsidRPr="00FE1598">
              <w:t xml:space="preserve"> </w:t>
            </w:r>
            <w:r w:rsidR="004C0511">
              <w:t xml:space="preserve">In designing, delivering, or undertaking learning activity </w:t>
            </w:r>
            <w:r w:rsidR="00954247">
              <w:t xml:space="preserve">the aim should always be to </w:t>
            </w:r>
            <w:r w:rsidR="004E3314" w:rsidRPr="00FE1598">
              <w:t>contribute to the creation of value outcomes both internally and externally</w:t>
            </w:r>
            <w:r w:rsidR="00954247">
              <w:t>.</w:t>
            </w:r>
            <w:r w:rsidR="004E3314" w:rsidRPr="00FE1598">
              <w:t xml:space="preserve"> </w:t>
            </w:r>
            <w:r w:rsidRPr="00FE1598">
              <w:t xml:space="preserve"> </w:t>
            </w:r>
            <w:r w:rsidR="00954247">
              <w:t xml:space="preserve">Here the requirement is not only </w:t>
            </w:r>
            <w:r w:rsidR="000C64AC">
              <w:t xml:space="preserve">to think about </w:t>
            </w:r>
            <w:r w:rsidR="00954247">
              <w:t xml:space="preserve">what </w:t>
            </w:r>
            <w:r w:rsidR="00D577FE">
              <w:t>do we or I need to know</w:t>
            </w:r>
            <w:r w:rsidR="001707A8">
              <w:t>,</w:t>
            </w:r>
            <w:r w:rsidR="00D577FE">
              <w:t xml:space="preserve"> learn</w:t>
            </w:r>
            <w:r w:rsidR="001707A8">
              <w:t xml:space="preserve">, practice </w:t>
            </w:r>
            <w:r w:rsidR="00460384">
              <w:t>and become confident and competent in</w:t>
            </w:r>
            <w:r w:rsidR="00D577FE">
              <w:t xml:space="preserve"> </w:t>
            </w:r>
            <w:r w:rsidR="00884012">
              <w:t>to create value</w:t>
            </w:r>
            <w:r w:rsidR="003A38D8">
              <w:t xml:space="preserve"> by the internal measures my organization </w:t>
            </w:r>
            <w:r w:rsidR="00884012">
              <w:t>requires</w:t>
            </w:r>
            <w:r w:rsidR="00D577FE">
              <w:t xml:space="preserve"> but also </w:t>
            </w:r>
            <w:r w:rsidR="001707A8">
              <w:t xml:space="preserve">what do we or I need to </w:t>
            </w:r>
            <w:r w:rsidR="00460384" w:rsidRPr="00460384">
              <w:t xml:space="preserve"> know, learn, practice and become confident and competent in to create value</w:t>
            </w:r>
            <w:r w:rsidR="00460384">
              <w:t xml:space="preserve"> for victims and survivors of RASSO. </w:t>
            </w:r>
          </w:p>
        </w:tc>
      </w:tr>
    </w:tbl>
    <w:p w14:paraId="57A5AEE9" w14:textId="77777777" w:rsidR="006C13B0" w:rsidRDefault="006C13B0" w:rsidP="006C13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A340A12" w14:textId="4F065A29" w:rsidR="006C13B0" w:rsidRDefault="00F45D46" w:rsidP="006C13B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45D4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References </w:t>
      </w:r>
    </w:p>
    <w:p w14:paraId="78F2868B" w14:textId="6BD2D6E4" w:rsidR="009E0324" w:rsidRPr="00F42DAB" w:rsidRDefault="009E0324" w:rsidP="006C13B0">
      <w:pPr>
        <w:rPr>
          <w:rStyle w:val="Hyperlink"/>
          <w:rFonts w:cstheme="minorHAnsi"/>
        </w:rPr>
      </w:pPr>
      <w:r w:rsidRPr="00F42DAB">
        <w:rPr>
          <w:rFonts w:cstheme="minorHAnsi"/>
          <w:color w:val="000000"/>
          <w:shd w:val="clear" w:color="auto" w:fill="FFFFFF"/>
        </w:rPr>
        <w:t xml:space="preserve">Harding R, Hartley J, Khalil L, et al. (2019) Police Learning and Development 2025:  Destination Map. Centre for Policing Research and Learning, Milton Keynes: The Open University. </w:t>
      </w:r>
      <w:hyperlink r:id="rId9" w:history="1">
        <w:r w:rsidRPr="00F42DAB">
          <w:rPr>
            <w:rStyle w:val="Hyperlink"/>
            <w:rFonts w:cstheme="minorHAnsi"/>
          </w:rPr>
          <w:t>POLICE LEARNING &amp; DEVELOPMENT 2025: DESTINATION MAP (open.ac.uk)</w:t>
        </w:r>
      </w:hyperlink>
    </w:p>
    <w:p w14:paraId="128AD04F" w14:textId="6FB70735" w:rsidR="00F42DAB" w:rsidRPr="00F42DAB" w:rsidRDefault="00F42DAB" w:rsidP="006C13B0">
      <w:pPr>
        <w:rPr>
          <w:rFonts w:cstheme="minorHAnsi"/>
          <w:color w:val="000000"/>
          <w:shd w:val="clear" w:color="auto" w:fill="FFFFFF"/>
        </w:rPr>
      </w:pPr>
      <w:r w:rsidRPr="00F42DAB">
        <w:rPr>
          <w:rStyle w:val="personname"/>
          <w:rFonts w:cstheme="minorHAnsi"/>
          <w:color w:val="000000"/>
          <w:shd w:val="clear" w:color="auto" w:fill="FFFFFF"/>
        </w:rPr>
        <w:t>Jackman, P</w:t>
      </w:r>
      <w:r w:rsidRPr="00F42DAB">
        <w:rPr>
          <w:rStyle w:val="personname"/>
          <w:rFonts w:cstheme="minorHAnsi"/>
          <w:color w:val="000000"/>
          <w:shd w:val="clear" w:color="auto" w:fill="FFFFFF"/>
        </w:rPr>
        <w:t>.</w:t>
      </w:r>
      <w:r w:rsidRPr="00F42DAB">
        <w:rPr>
          <w:rFonts w:cstheme="minorHAnsi"/>
          <w:color w:val="000000"/>
          <w:shd w:val="clear" w:color="auto" w:fill="FFFFFF"/>
        </w:rPr>
        <w:t>, </w:t>
      </w:r>
      <w:r w:rsidRPr="00F42DAB">
        <w:rPr>
          <w:rStyle w:val="personname"/>
          <w:rFonts w:cstheme="minorHAnsi"/>
          <w:color w:val="000000"/>
          <w:shd w:val="clear" w:color="auto" w:fill="FFFFFF"/>
        </w:rPr>
        <w:t>Henderson, H</w:t>
      </w:r>
      <w:r w:rsidRPr="00F42DAB">
        <w:rPr>
          <w:rStyle w:val="personname"/>
          <w:rFonts w:cstheme="minorHAnsi"/>
          <w:color w:val="000000"/>
          <w:shd w:val="clear" w:color="auto" w:fill="FFFFFF"/>
        </w:rPr>
        <w:t xml:space="preserve">., </w:t>
      </w:r>
      <w:r w:rsidRPr="00F42DAB">
        <w:rPr>
          <w:rStyle w:val="personname"/>
          <w:rFonts w:cstheme="minorHAnsi"/>
          <w:color w:val="000000"/>
          <w:shd w:val="clear" w:color="auto" w:fill="FFFFFF"/>
        </w:rPr>
        <w:t>Clay, G</w:t>
      </w:r>
      <w:r w:rsidRPr="00F42DAB">
        <w:rPr>
          <w:rStyle w:val="personname"/>
          <w:rFonts w:cstheme="minorHAnsi"/>
          <w:color w:val="000000"/>
          <w:shd w:val="clear" w:color="auto" w:fill="FFFFFF"/>
        </w:rPr>
        <w:t>.</w:t>
      </w:r>
      <w:r w:rsidRPr="00F42DAB">
        <w:rPr>
          <w:rFonts w:cstheme="minorHAnsi"/>
          <w:color w:val="000000"/>
          <w:shd w:val="clear" w:color="auto" w:fill="FFFFFF"/>
        </w:rPr>
        <w:t> </w:t>
      </w:r>
      <w:r w:rsidRPr="00F42DAB">
        <w:rPr>
          <w:rFonts w:cstheme="minorHAnsi"/>
        </w:rPr>
        <w:t>et al</w:t>
      </w:r>
      <w:r w:rsidRPr="00F42DAB">
        <w:rPr>
          <w:rFonts w:cstheme="minorHAnsi"/>
          <w:color w:val="000000"/>
          <w:shd w:val="clear" w:color="auto" w:fill="FFFFFF"/>
        </w:rPr>
        <w:t> (2020) </w:t>
      </w:r>
      <w:r w:rsidRPr="00F42DAB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The relationship between psychological wellbeing, social support, and personality in an English police force</w:t>
      </w:r>
      <w:r w:rsidRPr="00F42DAB">
        <w:rPr>
          <w:rStyle w:val="Emphasis"/>
          <w:rFonts w:cstheme="minorHAnsi"/>
          <w:color w:val="000000"/>
          <w:shd w:val="clear" w:color="auto" w:fill="FFFFFF"/>
        </w:rPr>
        <w:t>.</w:t>
      </w:r>
      <w:r w:rsidRPr="00F42DAB">
        <w:rPr>
          <w:rFonts w:cstheme="minorHAnsi"/>
          <w:color w:val="000000"/>
          <w:shd w:val="clear" w:color="auto" w:fill="FFFFFF"/>
        </w:rPr>
        <w:t> </w:t>
      </w:r>
      <w:r w:rsidRPr="00F42DAB">
        <w:rPr>
          <w:rFonts w:cstheme="minorHAnsi"/>
          <w:i/>
          <w:iCs/>
          <w:color w:val="000000"/>
          <w:shd w:val="clear" w:color="auto" w:fill="FFFFFF"/>
        </w:rPr>
        <w:t>International Journal of Police Science and Management</w:t>
      </w:r>
      <w:r w:rsidRPr="00F42DAB">
        <w:rPr>
          <w:rFonts w:cstheme="minorHAnsi"/>
          <w:color w:val="000000"/>
          <w:shd w:val="clear" w:color="auto" w:fill="FFFFFF"/>
        </w:rPr>
        <w:t xml:space="preserve">, </w:t>
      </w:r>
      <w:r w:rsidRPr="00F42DAB">
        <w:rPr>
          <w:rFonts w:cstheme="minorHAnsi"/>
          <w:color w:val="000000"/>
          <w:shd w:val="clear" w:color="auto" w:fill="FFFFFF"/>
        </w:rPr>
        <w:t xml:space="preserve">Vol </w:t>
      </w:r>
      <w:r w:rsidRPr="00F42DAB">
        <w:rPr>
          <w:rFonts w:cstheme="minorHAnsi"/>
          <w:color w:val="000000"/>
          <w:shd w:val="clear" w:color="auto" w:fill="FFFFFF"/>
        </w:rPr>
        <w:t>22 (2)</w:t>
      </w:r>
      <w:r w:rsidRPr="00F42DAB">
        <w:rPr>
          <w:rFonts w:cstheme="minorHAnsi"/>
          <w:color w:val="000000"/>
          <w:shd w:val="clear" w:color="auto" w:fill="FFFFFF"/>
        </w:rPr>
        <w:t>:</w:t>
      </w:r>
      <w:r w:rsidRPr="00F42DAB">
        <w:rPr>
          <w:rFonts w:cstheme="minorHAnsi"/>
          <w:color w:val="000000"/>
          <w:shd w:val="clear" w:color="auto" w:fill="FFFFFF"/>
        </w:rPr>
        <w:t>183-193. ISSN 1461-3557</w:t>
      </w:r>
    </w:p>
    <w:p w14:paraId="41BDB7B4" w14:textId="0B208E3E" w:rsidR="00F45D46" w:rsidRPr="00F42DAB" w:rsidRDefault="00F45D46" w:rsidP="006C13B0">
      <w:pPr>
        <w:rPr>
          <w:rFonts w:cstheme="minorHAnsi"/>
          <w:color w:val="000000"/>
          <w:shd w:val="clear" w:color="auto" w:fill="FFFFFF"/>
        </w:rPr>
      </w:pPr>
      <w:proofErr w:type="spellStart"/>
      <w:r w:rsidRPr="00F42DAB">
        <w:rPr>
          <w:rFonts w:cstheme="minorHAnsi"/>
          <w:color w:val="000000"/>
          <w:shd w:val="clear" w:color="auto" w:fill="FFFFFF"/>
        </w:rPr>
        <w:t>Rumney</w:t>
      </w:r>
      <w:proofErr w:type="spellEnd"/>
      <w:r w:rsidRPr="00F42DAB">
        <w:rPr>
          <w:rFonts w:cstheme="minorHAnsi"/>
          <w:color w:val="000000"/>
          <w:shd w:val="clear" w:color="auto" w:fill="FFFFFF"/>
        </w:rPr>
        <w:t>, P. </w:t>
      </w:r>
      <w:r w:rsidRPr="00F42DAB">
        <w:rPr>
          <w:rFonts w:cstheme="minorHAnsi"/>
          <w:i/>
          <w:iCs/>
          <w:color w:val="000000"/>
          <w:shd w:val="clear" w:color="auto" w:fill="FFFFFF"/>
        </w:rPr>
        <w:t>et al.</w:t>
      </w:r>
      <w:r w:rsidRPr="00F42DAB">
        <w:rPr>
          <w:rFonts w:cstheme="minorHAnsi"/>
          <w:color w:val="000000"/>
          <w:shd w:val="clear" w:color="auto" w:fill="FFFFFF"/>
        </w:rPr>
        <w:t> (2020) ‘A police specialist rape investigation unit: a comparative analysis of performance and victim care’, </w:t>
      </w:r>
      <w:r w:rsidRPr="00F42DAB">
        <w:rPr>
          <w:rFonts w:cstheme="minorHAnsi"/>
          <w:i/>
          <w:iCs/>
          <w:color w:val="000000"/>
          <w:shd w:val="clear" w:color="auto" w:fill="FFFFFF"/>
        </w:rPr>
        <w:t>Policing &amp; society</w:t>
      </w:r>
      <w:r w:rsidRPr="00F42DAB">
        <w:rPr>
          <w:rFonts w:cstheme="minorHAnsi"/>
          <w:color w:val="000000"/>
          <w:shd w:val="clear" w:color="auto" w:fill="FFFFFF"/>
        </w:rPr>
        <w:t xml:space="preserve">, 30(5): 548–568 </w:t>
      </w:r>
    </w:p>
    <w:p w14:paraId="54C6F1D4" w14:textId="5A2234C7" w:rsidR="00494195" w:rsidRPr="00F42DAB" w:rsidRDefault="00494195" w:rsidP="006C13B0">
      <w:pPr>
        <w:rPr>
          <w:rFonts w:cstheme="minorHAnsi"/>
          <w:color w:val="000000"/>
          <w:shd w:val="clear" w:color="auto" w:fill="FFFFFF"/>
        </w:rPr>
      </w:pPr>
      <w:r w:rsidRPr="00F42DAB">
        <w:rPr>
          <w:rFonts w:cstheme="minorHAnsi"/>
          <w:color w:val="000000"/>
          <w:shd w:val="clear" w:color="auto" w:fill="FFFFFF"/>
        </w:rPr>
        <w:lastRenderedPageBreak/>
        <w:t>Stanko B and Hohl K. (2018) Why training is not improving the police response to sexual violence against women: A glimpse into the ‘black box’ of police training. In: Milne E, Brennan K, South N, et al. (eds) Women and the Criminal Justice System Failing Victims and Offenders? Cham: Palgrave Macmillan, 167-186.</w:t>
      </w:r>
    </w:p>
    <w:p w14:paraId="09731DD3" w14:textId="77777777" w:rsidR="006C13B0" w:rsidRDefault="006C13B0" w:rsidP="006C13B0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6E9AB37" w14:textId="77777777" w:rsidR="006C13B0" w:rsidRDefault="006C13B0"/>
    <w:sectPr w:rsidR="006C13B0" w:rsidSect="009E0324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A882" w14:textId="77777777" w:rsidR="008E0D0D" w:rsidRDefault="008E0D0D" w:rsidP="002F599A">
      <w:pPr>
        <w:spacing w:after="0" w:line="240" w:lineRule="auto"/>
      </w:pPr>
      <w:r>
        <w:separator/>
      </w:r>
    </w:p>
  </w:endnote>
  <w:endnote w:type="continuationSeparator" w:id="0">
    <w:p w14:paraId="07320CEE" w14:textId="77777777" w:rsidR="008E0D0D" w:rsidRDefault="008E0D0D" w:rsidP="002F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2454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83B05" w14:textId="66DE1439" w:rsidR="00B16525" w:rsidRDefault="00B16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85B2E" w14:textId="77777777" w:rsidR="00B16525" w:rsidRDefault="00B16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39481" w14:textId="77777777" w:rsidR="008E0D0D" w:rsidRDefault="008E0D0D" w:rsidP="002F599A">
      <w:pPr>
        <w:spacing w:after="0" w:line="240" w:lineRule="auto"/>
      </w:pPr>
      <w:r>
        <w:separator/>
      </w:r>
    </w:p>
  </w:footnote>
  <w:footnote w:type="continuationSeparator" w:id="0">
    <w:p w14:paraId="44B71573" w14:textId="77777777" w:rsidR="008E0D0D" w:rsidRDefault="008E0D0D" w:rsidP="002F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451A" w14:textId="5B179545" w:rsidR="00B16525" w:rsidRDefault="0071582A" w:rsidP="00B16525">
    <w:pPr>
      <w:spacing w:line="360" w:lineRule="auto"/>
      <w:jc w:val="both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E510625" wp14:editId="0DD612F2">
          <wp:simplePos x="0" y="0"/>
          <wp:positionH relativeFrom="column">
            <wp:posOffset>4714875</wp:posOffset>
          </wp:positionH>
          <wp:positionV relativeFrom="paragraph">
            <wp:posOffset>-106680</wp:posOffset>
          </wp:positionV>
          <wp:extent cx="1844675" cy="4191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6525">
      <w:rPr>
        <w:b/>
        <w:bCs/>
        <w:sz w:val="28"/>
        <w:szCs w:val="28"/>
      </w:rPr>
      <w:t xml:space="preserve">RASSO </w:t>
    </w:r>
    <w:r w:rsidR="00B16525" w:rsidRPr="009E3D0D">
      <w:rPr>
        <w:b/>
        <w:bCs/>
        <w:sz w:val="28"/>
        <w:szCs w:val="28"/>
      </w:rPr>
      <w:t xml:space="preserve">Learning and Development Guidance </w:t>
    </w:r>
  </w:p>
  <w:p w14:paraId="7F0E982C" w14:textId="77777777" w:rsidR="00B16525" w:rsidRDefault="00B16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FE48" w14:textId="1CA5A4C3" w:rsidR="0071582A" w:rsidRDefault="007158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752FEB" wp14:editId="7E35894C">
          <wp:simplePos x="0" y="0"/>
          <wp:positionH relativeFrom="column">
            <wp:posOffset>-904875</wp:posOffset>
          </wp:positionH>
          <wp:positionV relativeFrom="paragraph">
            <wp:posOffset>-459105</wp:posOffset>
          </wp:positionV>
          <wp:extent cx="7566025" cy="17189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71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9A"/>
    <w:rsid w:val="000074BC"/>
    <w:rsid w:val="00015AE3"/>
    <w:rsid w:val="0002646B"/>
    <w:rsid w:val="00037899"/>
    <w:rsid w:val="00041C7C"/>
    <w:rsid w:val="00043BE4"/>
    <w:rsid w:val="00053293"/>
    <w:rsid w:val="000536C9"/>
    <w:rsid w:val="00055D33"/>
    <w:rsid w:val="00061245"/>
    <w:rsid w:val="00061BE1"/>
    <w:rsid w:val="00075830"/>
    <w:rsid w:val="000763F5"/>
    <w:rsid w:val="00076A1C"/>
    <w:rsid w:val="0008281A"/>
    <w:rsid w:val="000B6D96"/>
    <w:rsid w:val="000C4252"/>
    <w:rsid w:val="000C64AC"/>
    <w:rsid w:val="000D00A4"/>
    <w:rsid w:val="000D358C"/>
    <w:rsid w:val="000E3044"/>
    <w:rsid w:val="00102A75"/>
    <w:rsid w:val="00107600"/>
    <w:rsid w:val="0011001F"/>
    <w:rsid w:val="0011009A"/>
    <w:rsid w:val="00116E72"/>
    <w:rsid w:val="0013265D"/>
    <w:rsid w:val="001462E9"/>
    <w:rsid w:val="00154374"/>
    <w:rsid w:val="00161AA6"/>
    <w:rsid w:val="001707A8"/>
    <w:rsid w:val="001943BF"/>
    <w:rsid w:val="00194AF2"/>
    <w:rsid w:val="001A493C"/>
    <w:rsid w:val="001B4693"/>
    <w:rsid w:val="001B584F"/>
    <w:rsid w:val="001E2B8E"/>
    <w:rsid w:val="001E53C8"/>
    <w:rsid w:val="001E71A5"/>
    <w:rsid w:val="001F656F"/>
    <w:rsid w:val="00214547"/>
    <w:rsid w:val="0021514F"/>
    <w:rsid w:val="0021711E"/>
    <w:rsid w:val="00220E00"/>
    <w:rsid w:val="002222E1"/>
    <w:rsid w:val="00230407"/>
    <w:rsid w:val="002319D5"/>
    <w:rsid w:val="002335C0"/>
    <w:rsid w:val="00237348"/>
    <w:rsid w:val="00240256"/>
    <w:rsid w:val="00251F2D"/>
    <w:rsid w:val="00253FB6"/>
    <w:rsid w:val="002547C8"/>
    <w:rsid w:val="00262C75"/>
    <w:rsid w:val="00267994"/>
    <w:rsid w:val="0027126D"/>
    <w:rsid w:val="00291517"/>
    <w:rsid w:val="00296DFF"/>
    <w:rsid w:val="002A3A64"/>
    <w:rsid w:val="002A5EC3"/>
    <w:rsid w:val="002B0DD6"/>
    <w:rsid w:val="002B13DD"/>
    <w:rsid w:val="002C2738"/>
    <w:rsid w:val="002C492F"/>
    <w:rsid w:val="002C72E1"/>
    <w:rsid w:val="002D3587"/>
    <w:rsid w:val="002D4D6B"/>
    <w:rsid w:val="002D745B"/>
    <w:rsid w:val="002D7E5C"/>
    <w:rsid w:val="002D7F40"/>
    <w:rsid w:val="002E01AE"/>
    <w:rsid w:val="002E51D7"/>
    <w:rsid w:val="002E55CE"/>
    <w:rsid w:val="002F414B"/>
    <w:rsid w:val="002F599A"/>
    <w:rsid w:val="002F6BA9"/>
    <w:rsid w:val="00303891"/>
    <w:rsid w:val="00306DA2"/>
    <w:rsid w:val="003154EA"/>
    <w:rsid w:val="00317F04"/>
    <w:rsid w:val="00321D01"/>
    <w:rsid w:val="0032291A"/>
    <w:rsid w:val="0032428D"/>
    <w:rsid w:val="0034034C"/>
    <w:rsid w:val="0034374A"/>
    <w:rsid w:val="00347D06"/>
    <w:rsid w:val="003530A9"/>
    <w:rsid w:val="00354C74"/>
    <w:rsid w:val="003710AA"/>
    <w:rsid w:val="00387767"/>
    <w:rsid w:val="003A38D8"/>
    <w:rsid w:val="003B0E1E"/>
    <w:rsid w:val="003F25C7"/>
    <w:rsid w:val="003F4C6C"/>
    <w:rsid w:val="00407D3D"/>
    <w:rsid w:val="0041002B"/>
    <w:rsid w:val="0041226A"/>
    <w:rsid w:val="00417BB5"/>
    <w:rsid w:val="00433075"/>
    <w:rsid w:val="0043354F"/>
    <w:rsid w:val="00434076"/>
    <w:rsid w:val="00440E13"/>
    <w:rsid w:val="004556F4"/>
    <w:rsid w:val="00460384"/>
    <w:rsid w:val="00462396"/>
    <w:rsid w:val="0046744C"/>
    <w:rsid w:val="004810F8"/>
    <w:rsid w:val="00490D1F"/>
    <w:rsid w:val="004918EA"/>
    <w:rsid w:val="00494195"/>
    <w:rsid w:val="004949A5"/>
    <w:rsid w:val="00497300"/>
    <w:rsid w:val="004B063D"/>
    <w:rsid w:val="004B336A"/>
    <w:rsid w:val="004B33BE"/>
    <w:rsid w:val="004B69A7"/>
    <w:rsid w:val="004C0511"/>
    <w:rsid w:val="004C1D0A"/>
    <w:rsid w:val="004C37A7"/>
    <w:rsid w:val="004D624B"/>
    <w:rsid w:val="004E3314"/>
    <w:rsid w:val="004E7547"/>
    <w:rsid w:val="00500D0F"/>
    <w:rsid w:val="005075DF"/>
    <w:rsid w:val="005100FB"/>
    <w:rsid w:val="00522F49"/>
    <w:rsid w:val="00530177"/>
    <w:rsid w:val="00550419"/>
    <w:rsid w:val="00560F84"/>
    <w:rsid w:val="005665CE"/>
    <w:rsid w:val="00566896"/>
    <w:rsid w:val="00566E1F"/>
    <w:rsid w:val="00570153"/>
    <w:rsid w:val="005712BF"/>
    <w:rsid w:val="00585A08"/>
    <w:rsid w:val="0059106C"/>
    <w:rsid w:val="005947D0"/>
    <w:rsid w:val="005979CE"/>
    <w:rsid w:val="005B79B4"/>
    <w:rsid w:val="005C6ACD"/>
    <w:rsid w:val="005E5E48"/>
    <w:rsid w:val="005F39E9"/>
    <w:rsid w:val="00614FEB"/>
    <w:rsid w:val="00623538"/>
    <w:rsid w:val="00625090"/>
    <w:rsid w:val="00627522"/>
    <w:rsid w:val="00651824"/>
    <w:rsid w:val="00671ED6"/>
    <w:rsid w:val="0067399A"/>
    <w:rsid w:val="00685A53"/>
    <w:rsid w:val="0069417C"/>
    <w:rsid w:val="006A3C49"/>
    <w:rsid w:val="006A5865"/>
    <w:rsid w:val="006B26DB"/>
    <w:rsid w:val="006B312E"/>
    <w:rsid w:val="006B459F"/>
    <w:rsid w:val="006C13B0"/>
    <w:rsid w:val="006C1A0A"/>
    <w:rsid w:val="006E55E5"/>
    <w:rsid w:val="006F0252"/>
    <w:rsid w:val="00701992"/>
    <w:rsid w:val="007062AF"/>
    <w:rsid w:val="0071582A"/>
    <w:rsid w:val="00734DAB"/>
    <w:rsid w:val="00741012"/>
    <w:rsid w:val="0074595D"/>
    <w:rsid w:val="00761A3C"/>
    <w:rsid w:val="007660AD"/>
    <w:rsid w:val="00774A74"/>
    <w:rsid w:val="00777DD9"/>
    <w:rsid w:val="00790910"/>
    <w:rsid w:val="00792AD3"/>
    <w:rsid w:val="007A081E"/>
    <w:rsid w:val="007A24F1"/>
    <w:rsid w:val="007A6EDC"/>
    <w:rsid w:val="007A78BC"/>
    <w:rsid w:val="007B3792"/>
    <w:rsid w:val="007C2D8D"/>
    <w:rsid w:val="007E1DB5"/>
    <w:rsid w:val="007E5CE7"/>
    <w:rsid w:val="007F60E1"/>
    <w:rsid w:val="00800C73"/>
    <w:rsid w:val="008221DE"/>
    <w:rsid w:val="008323D8"/>
    <w:rsid w:val="00844204"/>
    <w:rsid w:val="0084561A"/>
    <w:rsid w:val="00847C07"/>
    <w:rsid w:val="008531DB"/>
    <w:rsid w:val="00866A1C"/>
    <w:rsid w:val="00877E7E"/>
    <w:rsid w:val="00884012"/>
    <w:rsid w:val="00897B00"/>
    <w:rsid w:val="008D6945"/>
    <w:rsid w:val="008E0D0D"/>
    <w:rsid w:val="008F1371"/>
    <w:rsid w:val="0092407E"/>
    <w:rsid w:val="00931994"/>
    <w:rsid w:val="00954247"/>
    <w:rsid w:val="009546EC"/>
    <w:rsid w:val="00957427"/>
    <w:rsid w:val="00973713"/>
    <w:rsid w:val="0098605F"/>
    <w:rsid w:val="00994A82"/>
    <w:rsid w:val="00997C15"/>
    <w:rsid w:val="009A1631"/>
    <w:rsid w:val="009B0102"/>
    <w:rsid w:val="009D342D"/>
    <w:rsid w:val="009E0324"/>
    <w:rsid w:val="009E3D0D"/>
    <w:rsid w:val="009E4562"/>
    <w:rsid w:val="009E5386"/>
    <w:rsid w:val="009F348C"/>
    <w:rsid w:val="00A036E8"/>
    <w:rsid w:val="00A11182"/>
    <w:rsid w:val="00A12177"/>
    <w:rsid w:val="00A16B0B"/>
    <w:rsid w:val="00A16CC6"/>
    <w:rsid w:val="00A1727D"/>
    <w:rsid w:val="00A30B66"/>
    <w:rsid w:val="00A33711"/>
    <w:rsid w:val="00A41486"/>
    <w:rsid w:val="00A447C1"/>
    <w:rsid w:val="00A673C9"/>
    <w:rsid w:val="00A67462"/>
    <w:rsid w:val="00A67C41"/>
    <w:rsid w:val="00A9476B"/>
    <w:rsid w:val="00AA3D0E"/>
    <w:rsid w:val="00AA5A93"/>
    <w:rsid w:val="00AA7806"/>
    <w:rsid w:val="00AC68B9"/>
    <w:rsid w:val="00AD01A1"/>
    <w:rsid w:val="00AF37EC"/>
    <w:rsid w:val="00AF5A15"/>
    <w:rsid w:val="00B117FD"/>
    <w:rsid w:val="00B16525"/>
    <w:rsid w:val="00B20C68"/>
    <w:rsid w:val="00B22B3D"/>
    <w:rsid w:val="00B31DB9"/>
    <w:rsid w:val="00B32E72"/>
    <w:rsid w:val="00B338B3"/>
    <w:rsid w:val="00B36504"/>
    <w:rsid w:val="00B52FE8"/>
    <w:rsid w:val="00B54204"/>
    <w:rsid w:val="00B679AA"/>
    <w:rsid w:val="00B84FEB"/>
    <w:rsid w:val="00B962C5"/>
    <w:rsid w:val="00B963C8"/>
    <w:rsid w:val="00B96A65"/>
    <w:rsid w:val="00B97D32"/>
    <w:rsid w:val="00BA08C5"/>
    <w:rsid w:val="00BA3D33"/>
    <w:rsid w:val="00BA4124"/>
    <w:rsid w:val="00BC7208"/>
    <w:rsid w:val="00BD5349"/>
    <w:rsid w:val="00BE2A76"/>
    <w:rsid w:val="00BE3BD7"/>
    <w:rsid w:val="00BE486E"/>
    <w:rsid w:val="00C2285A"/>
    <w:rsid w:val="00C26F80"/>
    <w:rsid w:val="00C27FCC"/>
    <w:rsid w:val="00C30A4D"/>
    <w:rsid w:val="00C340A3"/>
    <w:rsid w:val="00C356E3"/>
    <w:rsid w:val="00C4165D"/>
    <w:rsid w:val="00C651DE"/>
    <w:rsid w:val="00C66108"/>
    <w:rsid w:val="00C71B49"/>
    <w:rsid w:val="00C84F39"/>
    <w:rsid w:val="00C9345B"/>
    <w:rsid w:val="00CB6FB0"/>
    <w:rsid w:val="00CC1A1A"/>
    <w:rsid w:val="00CC341D"/>
    <w:rsid w:val="00CC701E"/>
    <w:rsid w:val="00CD4B3E"/>
    <w:rsid w:val="00CF1E59"/>
    <w:rsid w:val="00D01E10"/>
    <w:rsid w:val="00D12A4C"/>
    <w:rsid w:val="00D3219A"/>
    <w:rsid w:val="00D3270C"/>
    <w:rsid w:val="00D5726C"/>
    <w:rsid w:val="00D577FE"/>
    <w:rsid w:val="00D96491"/>
    <w:rsid w:val="00DA1B6B"/>
    <w:rsid w:val="00DA2C7F"/>
    <w:rsid w:val="00DA7559"/>
    <w:rsid w:val="00DB78BA"/>
    <w:rsid w:val="00DC3213"/>
    <w:rsid w:val="00DD347E"/>
    <w:rsid w:val="00DF0B95"/>
    <w:rsid w:val="00E02FC6"/>
    <w:rsid w:val="00E15C2D"/>
    <w:rsid w:val="00E273CF"/>
    <w:rsid w:val="00E46166"/>
    <w:rsid w:val="00E50567"/>
    <w:rsid w:val="00E6203B"/>
    <w:rsid w:val="00E71874"/>
    <w:rsid w:val="00E77658"/>
    <w:rsid w:val="00E90F0F"/>
    <w:rsid w:val="00E91496"/>
    <w:rsid w:val="00E97D6D"/>
    <w:rsid w:val="00EA3734"/>
    <w:rsid w:val="00EA4586"/>
    <w:rsid w:val="00EB25D5"/>
    <w:rsid w:val="00EB29B0"/>
    <w:rsid w:val="00ED7D24"/>
    <w:rsid w:val="00F008BE"/>
    <w:rsid w:val="00F0371E"/>
    <w:rsid w:val="00F10F54"/>
    <w:rsid w:val="00F3188B"/>
    <w:rsid w:val="00F40C13"/>
    <w:rsid w:val="00F42DAB"/>
    <w:rsid w:val="00F45D46"/>
    <w:rsid w:val="00F518E3"/>
    <w:rsid w:val="00F52CF2"/>
    <w:rsid w:val="00F55140"/>
    <w:rsid w:val="00F612E8"/>
    <w:rsid w:val="00F729DB"/>
    <w:rsid w:val="00F80802"/>
    <w:rsid w:val="00F816A7"/>
    <w:rsid w:val="00F82EFF"/>
    <w:rsid w:val="00F85889"/>
    <w:rsid w:val="00F858FC"/>
    <w:rsid w:val="00F86039"/>
    <w:rsid w:val="00F86DB2"/>
    <w:rsid w:val="00F94A05"/>
    <w:rsid w:val="00FA1D59"/>
    <w:rsid w:val="00FC49F2"/>
    <w:rsid w:val="00FC7534"/>
    <w:rsid w:val="00FE081B"/>
    <w:rsid w:val="00FE59C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9C8B2"/>
  <w15:chartTrackingRefBased/>
  <w15:docId w15:val="{D0A167F1-8070-4335-8E58-398CDCD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A7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2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25"/>
  </w:style>
  <w:style w:type="paragraph" w:styleId="Footer">
    <w:name w:val="footer"/>
    <w:basedOn w:val="Normal"/>
    <w:link w:val="FooterChar"/>
    <w:uiPriority w:val="99"/>
    <w:unhideWhenUsed/>
    <w:rsid w:val="00B1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25"/>
  </w:style>
  <w:style w:type="character" w:customStyle="1" w:styleId="personname">
    <w:name w:val="person_name"/>
    <w:basedOn w:val="DefaultParagraphFont"/>
    <w:rsid w:val="00F42DAB"/>
  </w:style>
  <w:style w:type="character" w:styleId="Emphasis">
    <w:name w:val="Emphasis"/>
    <w:basedOn w:val="DefaultParagraphFont"/>
    <w:uiPriority w:val="20"/>
    <w:qFormat/>
    <w:rsid w:val="00F42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ac.uk/centres/policing/itpl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pen.ac.uk/centres/policing/sites/www.open.ac.uk.centres.policing/files/files/Outputs/PLD%202025%20DM%20V1_1%20(Narrative)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Emma.Williams</dc:creator>
  <cp:keywords/>
  <dc:description/>
  <cp:lastModifiedBy>Emma.Williams</cp:lastModifiedBy>
  <cp:revision>2</cp:revision>
  <dcterms:created xsi:type="dcterms:W3CDTF">2021-04-29T17:04:00Z</dcterms:created>
  <dcterms:modified xsi:type="dcterms:W3CDTF">2021-04-29T17:04:00Z</dcterms:modified>
</cp:coreProperties>
</file>