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CA02" w14:textId="4D231B5B" w:rsidR="00AB6E06" w:rsidRDefault="0040797E">
      <w:r>
        <w:rPr>
          <w:noProof/>
        </w:rPr>
        <w:drawing>
          <wp:inline distT="0" distB="0" distL="0" distR="0" wp14:anchorId="4F59499B" wp14:editId="163D6A48">
            <wp:extent cx="1282890" cy="921616"/>
            <wp:effectExtent l="0" t="0" r="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86" cy="92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D4BAC" w14:textId="70A68C0A" w:rsidR="0040797E" w:rsidRPr="0040797E" w:rsidRDefault="0040797E">
      <w:pPr>
        <w:rPr>
          <w:rFonts w:ascii="Montserrat" w:hAnsi="Montserrat"/>
          <w:b/>
          <w:bCs/>
          <w:sz w:val="28"/>
          <w:szCs w:val="28"/>
          <w:lang w:val="en-GB"/>
        </w:rPr>
      </w:pPr>
      <w:r w:rsidRPr="5EFC5707">
        <w:rPr>
          <w:rFonts w:ascii="Montserrat" w:hAnsi="Montserrat"/>
          <w:b/>
          <w:bCs/>
          <w:sz w:val="28"/>
          <w:szCs w:val="28"/>
          <w:lang w:val="en-GB"/>
        </w:rPr>
        <w:t>How The Open University in Wales is supporting Wales’ new curriculum</w:t>
      </w:r>
    </w:p>
    <w:p w14:paraId="365198BC" w14:textId="3C10F30B" w:rsidR="0040797E" w:rsidRDefault="0040797E">
      <w:pPr>
        <w:rPr>
          <w:rFonts w:ascii="Montserrat" w:hAnsi="Montserrat"/>
          <w:sz w:val="28"/>
          <w:szCs w:val="28"/>
          <w:lang w:val="en-GB"/>
        </w:rPr>
      </w:pPr>
      <w:r w:rsidRPr="0040797E">
        <w:rPr>
          <w:rFonts w:ascii="Montserrat" w:hAnsi="Montserrat"/>
          <w:sz w:val="28"/>
          <w:szCs w:val="28"/>
          <w:lang w:val="en-GB"/>
        </w:rPr>
        <w:t>Last updated: August 2021</w:t>
      </w:r>
    </w:p>
    <w:p w14:paraId="7148C004" w14:textId="6716792A" w:rsidR="0040797E" w:rsidRDefault="0040797E" w:rsidP="0040797E">
      <w:pPr>
        <w:spacing w:line="360" w:lineRule="auto"/>
        <w:rPr>
          <w:rFonts w:ascii="Montserrat" w:hAnsi="Montserrat"/>
          <w:sz w:val="24"/>
          <w:szCs w:val="24"/>
          <w:lang w:val="en-GB"/>
        </w:rPr>
      </w:pPr>
      <w:r>
        <w:rPr>
          <w:rFonts w:ascii="Montserrat" w:hAnsi="Montserrat"/>
          <w:sz w:val="24"/>
          <w:szCs w:val="24"/>
          <w:lang w:val="en-GB"/>
        </w:rPr>
        <w:t xml:space="preserve">The table below outlines some of the support The OU in Wales is giving schools and colleges in Wales, and how these align to the </w:t>
      </w:r>
      <w:r w:rsidRPr="0040797E">
        <w:rPr>
          <w:rFonts w:ascii="Montserrat" w:hAnsi="Montserrat"/>
          <w:sz w:val="24"/>
          <w:szCs w:val="24"/>
          <w:lang w:val="en-GB"/>
        </w:rPr>
        <w:t>Six Areas of Learning and Experience</w:t>
      </w:r>
      <w:r>
        <w:rPr>
          <w:rFonts w:ascii="Montserrat" w:hAnsi="Montserrat"/>
          <w:sz w:val="24"/>
          <w:szCs w:val="24"/>
          <w:lang w:val="en-GB"/>
        </w:rPr>
        <w:t xml:space="preserve"> in the new curriculum for Wales. </w:t>
      </w:r>
    </w:p>
    <w:p w14:paraId="64332123" w14:textId="6018FFA5" w:rsidR="0040797E" w:rsidRDefault="0040797E" w:rsidP="0040797E">
      <w:pPr>
        <w:spacing w:line="360" w:lineRule="auto"/>
        <w:rPr>
          <w:rFonts w:ascii="Montserrat" w:hAnsi="Montserrat"/>
          <w:sz w:val="24"/>
          <w:szCs w:val="24"/>
          <w:lang w:val="en-GB"/>
        </w:rPr>
      </w:pPr>
      <w:r>
        <w:rPr>
          <w:rFonts w:ascii="Montserrat" w:hAnsi="Montserrat"/>
          <w:sz w:val="24"/>
          <w:szCs w:val="24"/>
          <w:lang w:val="en-GB"/>
        </w:rPr>
        <w:t>Key:</w:t>
      </w:r>
    </w:p>
    <w:p w14:paraId="3A14488A" w14:textId="7D1DBDA7" w:rsidR="0040797E" w:rsidRDefault="0040797E" w:rsidP="0040797E">
      <w:pPr>
        <w:spacing w:line="360" w:lineRule="auto"/>
        <w:rPr>
          <w:rFonts w:ascii="Montserrat" w:hAnsi="Montserrat"/>
          <w:sz w:val="24"/>
          <w:szCs w:val="24"/>
          <w:lang w:val="en-GB"/>
        </w:rPr>
      </w:pPr>
      <w:r w:rsidRPr="6923EAED">
        <w:rPr>
          <w:rFonts w:ascii="Wingdings" w:eastAsia="Wingdings" w:hAnsi="Wingdings" w:cs="Wingdings"/>
          <w:color w:val="1E4B9B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Expressive Arts</w:t>
      </w:r>
      <w:r>
        <w:br/>
      </w:r>
      <w:r w:rsidRPr="6923EAED">
        <w:rPr>
          <w:rFonts w:ascii="Wingdings" w:eastAsia="Wingdings" w:hAnsi="Wingdings" w:cs="Wingdings"/>
          <w:color w:val="ED2891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Health and Well-being</w:t>
      </w:r>
      <w:r>
        <w:br/>
      </w:r>
      <w:r w:rsidRPr="6923EAED">
        <w:rPr>
          <w:rFonts w:ascii="Wingdings" w:eastAsia="Wingdings" w:hAnsi="Wingdings" w:cs="Wingdings"/>
          <w:color w:val="00B7B2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Humanities </w:t>
      </w:r>
      <w:r>
        <w:br/>
      </w:r>
      <w:r w:rsidRPr="6923EAED">
        <w:rPr>
          <w:rFonts w:ascii="Wingdings" w:eastAsia="Wingdings" w:hAnsi="Wingdings" w:cs="Wingdings"/>
          <w:color w:val="7D55C7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Languages, Literacy and Communication </w:t>
      </w:r>
      <w:r>
        <w:br/>
      </w:r>
      <w:r w:rsidRPr="6923EAED">
        <w:rPr>
          <w:rFonts w:ascii="Wingdings" w:eastAsia="Wingdings" w:hAnsi="Wingdings" w:cs="Wingdings"/>
          <w:color w:val="F26522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Mathematics and Numeracy </w:t>
      </w:r>
      <w:r>
        <w:br/>
      </w:r>
      <w:r w:rsidRPr="6923EAED">
        <w:rPr>
          <w:rFonts w:ascii="Wingdings" w:eastAsia="Wingdings" w:hAnsi="Wingdings" w:cs="Wingdings"/>
          <w:sz w:val="24"/>
          <w:szCs w:val="24"/>
          <w:lang w:val="en-GB"/>
        </w:rPr>
        <w:t>l</w:t>
      </w:r>
      <w:r w:rsidRPr="6923EAED">
        <w:rPr>
          <w:rFonts w:ascii="Montserrat" w:hAnsi="Montserrat"/>
          <w:sz w:val="24"/>
          <w:szCs w:val="24"/>
          <w:lang w:val="en-GB"/>
        </w:rPr>
        <w:t xml:space="preserve"> Science and Technology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2126"/>
      </w:tblGrid>
      <w:tr w:rsidR="0040797E" w:rsidRPr="0040797E" w14:paraId="76D25623" w14:textId="77777777" w:rsidTr="5EFC5707">
        <w:trPr>
          <w:cantSplit/>
          <w:tblHeader/>
        </w:trPr>
        <w:tc>
          <w:tcPr>
            <w:tcW w:w="3256" w:type="dxa"/>
          </w:tcPr>
          <w:p w14:paraId="4BBB893C" w14:textId="6A20201E" w:rsidR="0040797E" w:rsidRPr="0040797E" w:rsidRDefault="0040797E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</w:pPr>
            <w:r w:rsidRPr="0040797E"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  <w:t>Area of support</w:t>
            </w:r>
          </w:p>
        </w:tc>
        <w:tc>
          <w:tcPr>
            <w:tcW w:w="3118" w:type="dxa"/>
          </w:tcPr>
          <w:p w14:paraId="748CA9BF" w14:textId="2978A8A0" w:rsidR="0040797E" w:rsidRPr="0040797E" w:rsidRDefault="0040797E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</w:pPr>
            <w:r w:rsidRPr="0040797E"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  <w:t>Link to new curriculum</w:t>
            </w:r>
          </w:p>
        </w:tc>
        <w:tc>
          <w:tcPr>
            <w:tcW w:w="2126" w:type="dxa"/>
          </w:tcPr>
          <w:p w14:paraId="5358F441" w14:textId="449C7E39" w:rsidR="0040797E" w:rsidRPr="0040797E" w:rsidRDefault="0040797E" w:rsidP="0040797E">
            <w:pPr>
              <w:spacing w:line="360" w:lineRule="auto"/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</w:pPr>
            <w:r w:rsidRPr="0040797E">
              <w:rPr>
                <w:rFonts w:ascii="Montserrat" w:hAnsi="Montserrat"/>
                <w:b/>
                <w:bCs/>
                <w:color w:val="1E4B9B"/>
                <w:sz w:val="24"/>
                <w:szCs w:val="24"/>
                <w:lang w:val="en-GB"/>
              </w:rPr>
              <w:t>Associated cost</w:t>
            </w:r>
          </w:p>
        </w:tc>
      </w:tr>
      <w:tr w:rsidR="0040797E" w:rsidRPr="0040797E" w14:paraId="7573D482" w14:textId="77777777" w:rsidTr="5EFC5707">
        <w:tc>
          <w:tcPr>
            <w:tcW w:w="3256" w:type="dxa"/>
          </w:tcPr>
          <w:p w14:paraId="0675F0FA" w14:textId="378E5733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>Postgraduate Certificate in Education (PGCE)</w:t>
            </w:r>
          </w:p>
        </w:tc>
        <w:tc>
          <w:tcPr>
            <w:tcW w:w="3118" w:type="dxa"/>
          </w:tcPr>
          <w:p w14:paraId="75AA5BCB" w14:textId="09B3B59C" w:rsidR="0040797E" w:rsidRPr="0040797E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239064B2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</w:tr>
      <w:tr w:rsidR="0040797E" w:rsidRPr="0040797E" w14:paraId="4DD99F42" w14:textId="77777777" w:rsidTr="5EFC5707">
        <w:tc>
          <w:tcPr>
            <w:tcW w:w="3256" w:type="dxa"/>
          </w:tcPr>
          <w:p w14:paraId="1A56734F" w14:textId="2579B913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>T</w:t>
            </w:r>
            <w:r w:rsidR="00AF1A1E">
              <w:rPr>
                <w:rFonts w:ascii="Montserrat" w:hAnsi="Montserrat"/>
                <w:sz w:val="24"/>
                <w:szCs w:val="24"/>
                <w:lang w:val="en-GB"/>
              </w:rPr>
              <w:t>e</w:t>
            </w: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>achers Learning to Teach languages (TELT</w:t>
            </w:r>
            <w:r w:rsidR="00393BA7">
              <w:rPr>
                <w:rFonts w:ascii="Montserrat" w:hAnsi="Montserrat"/>
                <w:sz w:val="24"/>
                <w:szCs w:val="24"/>
                <w:lang w:val="en-GB"/>
              </w:rPr>
              <w:t>)</w:t>
            </w:r>
          </w:p>
        </w:tc>
        <w:tc>
          <w:tcPr>
            <w:tcW w:w="3118" w:type="dxa"/>
          </w:tcPr>
          <w:p w14:paraId="01925CCB" w14:textId="50CA6DCD" w:rsidR="0040797E" w:rsidRPr="0040797E" w:rsidRDefault="25FCF5D0" w:rsidP="5EFC5707">
            <w:pPr>
              <w:spacing w:line="360" w:lineRule="auto"/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66FE88F9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</w:tr>
      <w:tr w:rsidR="0040797E" w:rsidRPr="0040797E" w14:paraId="531DC401" w14:textId="77777777" w:rsidTr="5EFC5707">
        <w:tc>
          <w:tcPr>
            <w:tcW w:w="3256" w:type="dxa"/>
          </w:tcPr>
          <w:p w14:paraId="695C271E" w14:textId="1BEEA22C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T</w:t>
            </w: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>eaching assistant hub</w:t>
            </w:r>
          </w:p>
        </w:tc>
        <w:tc>
          <w:tcPr>
            <w:tcW w:w="3118" w:type="dxa"/>
          </w:tcPr>
          <w:p w14:paraId="0F55A2C3" w14:textId="28A91B6D" w:rsidR="0040797E" w:rsidRPr="0040797E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6351C5CA" w14:textId="0699B0B8" w:rsidR="0040797E" w:rsidRPr="0040797E" w:rsidRDefault="0221B379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2F47407A" w14:textId="77777777" w:rsidTr="5EFC5707">
        <w:tc>
          <w:tcPr>
            <w:tcW w:w="3256" w:type="dxa"/>
          </w:tcPr>
          <w:p w14:paraId="79528E31" w14:textId="70B4134B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Courses for school governors</w:t>
            </w:r>
          </w:p>
        </w:tc>
        <w:tc>
          <w:tcPr>
            <w:tcW w:w="3118" w:type="dxa"/>
          </w:tcPr>
          <w:p w14:paraId="6F25E89B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1C59776D" w14:textId="1E21C870" w:rsidR="0040797E" w:rsidRPr="0040797E" w:rsidRDefault="7DF450ED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3970544B" w14:textId="77777777" w:rsidTr="5EFC5707">
        <w:tc>
          <w:tcPr>
            <w:tcW w:w="3256" w:type="dxa"/>
          </w:tcPr>
          <w:p w14:paraId="36980D75" w14:textId="05995A77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Well-being and mental health collection</w:t>
            </w:r>
          </w:p>
        </w:tc>
        <w:tc>
          <w:tcPr>
            <w:tcW w:w="3118" w:type="dxa"/>
          </w:tcPr>
          <w:p w14:paraId="02490CBC" w14:textId="55EA11F2" w:rsidR="0040797E" w:rsidRPr="0040797E" w:rsidRDefault="389349C8" w:rsidP="5EFC5707">
            <w:pPr>
              <w:spacing w:line="360" w:lineRule="auto"/>
              <w:rPr>
                <w:rFonts w:ascii="Wingdings" w:eastAsia="Wingdings" w:hAnsi="Wingdings" w:cs="Wingdings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477A49DC" w14:textId="0ACF3C7F" w:rsidR="0040797E" w:rsidRPr="0040797E" w:rsidRDefault="1CA4439C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0DA5D0FC" w14:textId="77777777" w:rsidTr="5EFC5707">
        <w:tc>
          <w:tcPr>
            <w:tcW w:w="3256" w:type="dxa"/>
          </w:tcPr>
          <w:p w14:paraId="25348515" w14:textId="49BDC87F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Take your teaching online</w:t>
            </w:r>
            <w:r w:rsidR="00D3030E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6AE23C16" w14:textId="3159038A" w:rsidR="0040797E" w:rsidRPr="0040797E" w:rsidRDefault="00D3030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04280072" w14:textId="4D4227CD" w:rsidR="0040797E" w:rsidRPr="0040797E" w:rsidRDefault="3F19CB90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189C8A56" w14:textId="77777777" w:rsidTr="5EFC5707">
        <w:tc>
          <w:tcPr>
            <w:tcW w:w="3256" w:type="dxa"/>
          </w:tcPr>
          <w:p w14:paraId="6035DF0E" w14:textId="2C788398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lastRenderedPageBreak/>
              <w:t>Moving your language teaching online</w:t>
            </w:r>
          </w:p>
        </w:tc>
        <w:tc>
          <w:tcPr>
            <w:tcW w:w="3118" w:type="dxa"/>
          </w:tcPr>
          <w:p w14:paraId="0DBAF7BA" w14:textId="63461845" w:rsidR="0040797E" w:rsidRPr="0040797E" w:rsidRDefault="001E24D7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58BE53AA" w14:textId="657C52D7" w:rsidR="0040797E" w:rsidRPr="0040797E" w:rsidRDefault="5E26ECC7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0048EF4C" w14:textId="77777777" w:rsidTr="5EFC5707">
        <w:tc>
          <w:tcPr>
            <w:tcW w:w="3256" w:type="dxa"/>
          </w:tcPr>
          <w:p w14:paraId="75FA7EE0" w14:textId="4512EE50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Direct training to partner colleges</w:t>
            </w:r>
          </w:p>
        </w:tc>
        <w:tc>
          <w:tcPr>
            <w:tcW w:w="3118" w:type="dxa"/>
          </w:tcPr>
          <w:p w14:paraId="25E25807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7757D9BC" w14:textId="175D2206" w:rsidR="0040797E" w:rsidRPr="0040797E" w:rsidRDefault="00D3030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34DF98D6" w14:textId="77777777" w:rsidTr="5EFC5707">
        <w:tc>
          <w:tcPr>
            <w:tcW w:w="3256" w:type="dxa"/>
          </w:tcPr>
          <w:p w14:paraId="21DC65D4" w14:textId="76107501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  <w:lang w:val="en-GB"/>
              </w:rPr>
              <w:t>Microcredentials</w:t>
            </w:r>
            <w:proofErr w:type="spellEnd"/>
          </w:p>
        </w:tc>
        <w:tc>
          <w:tcPr>
            <w:tcW w:w="3118" w:type="dxa"/>
          </w:tcPr>
          <w:p w14:paraId="1F3B2AD8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3BE7561E" w14:textId="57975CA7" w:rsidR="0040797E" w:rsidRPr="0040797E" w:rsidRDefault="5035C8A6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£450-£675</w:t>
            </w:r>
          </w:p>
        </w:tc>
      </w:tr>
      <w:tr w:rsidR="0040797E" w:rsidRPr="0040797E" w14:paraId="65ED58B6" w14:textId="77777777" w:rsidTr="5EFC5707">
        <w:tc>
          <w:tcPr>
            <w:tcW w:w="3256" w:type="dxa"/>
          </w:tcPr>
          <w:p w14:paraId="17AD3E74" w14:textId="6F8CE578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  <w:lang w:val="en-GB"/>
              </w:rPr>
              <w:t>OpenLearn</w:t>
            </w:r>
            <w:proofErr w:type="spellEnd"/>
            <w:r>
              <w:rPr>
                <w:rFonts w:ascii="Montserrat" w:hAnsi="Montserrat"/>
                <w:sz w:val="24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="Montserrat" w:hAnsi="Montserrat"/>
                <w:sz w:val="24"/>
                <w:szCs w:val="24"/>
                <w:lang w:val="en-GB"/>
              </w:rPr>
              <w:t>OpenLearn</w:t>
            </w:r>
            <w:proofErr w:type="spellEnd"/>
            <w:r>
              <w:rPr>
                <w:rFonts w:ascii="Montserrat" w:hAnsi="Montserrat"/>
                <w:sz w:val="24"/>
                <w:szCs w:val="24"/>
                <w:lang w:val="en-GB"/>
              </w:rPr>
              <w:t xml:space="preserve"> Wales</w:t>
            </w:r>
          </w:p>
        </w:tc>
        <w:tc>
          <w:tcPr>
            <w:tcW w:w="3118" w:type="dxa"/>
          </w:tcPr>
          <w:p w14:paraId="6C41ACFF" w14:textId="6DE13BE3" w:rsidR="0040797E" w:rsidRPr="0040797E" w:rsidRDefault="7C2B1CCD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="00D3030E"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2E96B011" w14:textId="32CC8820" w:rsidR="0040797E" w:rsidRPr="0040797E" w:rsidRDefault="797237F2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033391C3" w14:textId="77777777" w:rsidTr="5EFC5707">
        <w:tc>
          <w:tcPr>
            <w:tcW w:w="3256" w:type="dxa"/>
          </w:tcPr>
          <w:p w14:paraId="3B943083" w14:textId="4874D760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Understanding Devolution in Wales</w:t>
            </w:r>
          </w:p>
        </w:tc>
        <w:tc>
          <w:tcPr>
            <w:tcW w:w="3118" w:type="dxa"/>
          </w:tcPr>
          <w:p w14:paraId="3F15EE80" w14:textId="77777777" w:rsidR="0040797E" w:rsidRP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14:paraId="476B8755" w14:textId="1993D028" w:rsidR="0040797E" w:rsidRPr="0040797E" w:rsidRDefault="63B7B576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33FBF0EB" w14:textId="77777777" w:rsidTr="5EFC5707">
        <w:tc>
          <w:tcPr>
            <w:tcW w:w="3256" w:type="dxa"/>
          </w:tcPr>
          <w:p w14:paraId="29044338" w14:textId="60560508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University ready</w:t>
            </w:r>
          </w:p>
        </w:tc>
        <w:tc>
          <w:tcPr>
            <w:tcW w:w="3118" w:type="dxa"/>
          </w:tcPr>
          <w:p w14:paraId="239391AA" w14:textId="29EC6B68" w:rsidR="0040797E" w:rsidRPr="0040797E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6F47E3D2" w14:textId="7305F032" w:rsidR="0040797E" w:rsidRPr="0040797E" w:rsidRDefault="44BD181D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1112E7B9" w14:textId="77777777" w:rsidTr="5EFC5707">
        <w:tc>
          <w:tcPr>
            <w:tcW w:w="3256" w:type="dxa"/>
          </w:tcPr>
          <w:p w14:paraId="2CB0769E" w14:textId="64BFF2E1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>
              <w:rPr>
                <w:rFonts w:ascii="Montserrat" w:hAnsi="Montserrat"/>
                <w:sz w:val="24"/>
                <w:szCs w:val="24"/>
                <w:lang w:val="en-GB"/>
              </w:rPr>
              <w:t>OU Ambassador Programme</w:t>
            </w:r>
          </w:p>
        </w:tc>
        <w:tc>
          <w:tcPr>
            <w:tcW w:w="3118" w:type="dxa"/>
          </w:tcPr>
          <w:p w14:paraId="08C36338" w14:textId="1EFB3C61" w:rsidR="0040797E" w:rsidRPr="0040797E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4AC20A53" w14:textId="525BD0AF" w:rsidR="0040797E" w:rsidRPr="0040797E" w:rsidRDefault="54C3162C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71D4B41C" w14:textId="77777777" w:rsidTr="5EFC5707">
        <w:tc>
          <w:tcPr>
            <w:tcW w:w="3256" w:type="dxa"/>
          </w:tcPr>
          <w:p w14:paraId="1BD9D82B" w14:textId="576561B7" w:rsidR="0040797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Montserrat" w:hAnsi="Montserrat"/>
                <w:sz w:val="24"/>
                <w:szCs w:val="24"/>
                <w:lang w:val="en-GB"/>
              </w:rPr>
              <w:t>OpenLearn</w:t>
            </w:r>
            <w:proofErr w:type="spellEnd"/>
            <w:r>
              <w:rPr>
                <w:rFonts w:ascii="Montserrat" w:hAnsi="Montserrat"/>
                <w:sz w:val="24"/>
                <w:szCs w:val="24"/>
                <w:lang w:val="en-GB"/>
              </w:rPr>
              <w:t xml:space="preserve"> Champions programme</w:t>
            </w:r>
          </w:p>
        </w:tc>
        <w:tc>
          <w:tcPr>
            <w:tcW w:w="3118" w:type="dxa"/>
          </w:tcPr>
          <w:p w14:paraId="0F469AA1" w14:textId="13BC4C8C" w:rsidR="0040797E" w:rsidRPr="0040797E" w:rsidRDefault="00D3030E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1E4B9B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ED2891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00B7B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  <w:r w:rsidRPr="0040797E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22A6BE06" w14:textId="4963BA34" w:rsidR="0040797E" w:rsidRPr="0040797E" w:rsidRDefault="0E17FE55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0A4CD679" w14:textId="77777777" w:rsidTr="5EFC5707">
        <w:tc>
          <w:tcPr>
            <w:tcW w:w="3256" w:type="dxa"/>
          </w:tcPr>
          <w:p w14:paraId="79CF8AFB" w14:textId="66F52EEF" w:rsidR="0040797E" w:rsidRPr="00D3030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proofErr w:type="spellStart"/>
            <w:r w:rsidRPr="00D3030E">
              <w:rPr>
                <w:rFonts w:ascii="Montserrat" w:hAnsi="Montserrat"/>
                <w:sz w:val="24"/>
                <w:szCs w:val="24"/>
                <w:lang w:val="en-GB"/>
              </w:rPr>
              <w:t>OpenSTEM</w:t>
            </w:r>
            <w:proofErr w:type="spellEnd"/>
            <w:r w:rsidRPr="00D3030E">
              <w:rPr>
                <w:rFonts w:ascii="Montserrat" w:hAnsi="Montserrat"/>
                <w:sz w:val="24"/>
                <w:szCs w:val="24"/>
                <w:lang w:val="en-GB"/>
              </w:rPr>
              <w:t xml:space="preserve"> labs</w:t>
            </w:r>
          </w:p>
        </w:tc>
        <w:tc>
          <w:tcPr>
            <w:tcW w:w="3118" w:type="dxa"/>
          </w:tcPr>
          <w:p w14:paraId="2A13B5CC" w14:textId="3EC9D241" w:rsidR="0040797E" w:rsidRPr="0040797E" w:rsidRDefault="53AB0CF5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51321B44" w14:textId="4C1230CD" w:rsidR="0040797E" w:rsidRPr="0040797E" w:rsidRDefault="14A307B3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  <w:tr w:rsidR="0040797E" w:rsidRPr="0040797E" w14:paraId="015C21A4" w14:textId="77777777" w:rsidTr="5EFC5707">
        <w:tc>
          <w:tcPr>
            <w:tcW w:w="3256" w:type="dxa"/>
          </w:tcPr>
          <w:p w14:paraId="42140B0E" w14:textId="0B8B4159" w:rsidR="0040797E" w:rsidRPr="00D3030E" w:rsidRDefault="0040797E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00D3030E">
              <w:rPr>
                <w:rFonts w:ascii="Montserrat" w:hAnsi="Montserrat"/>
                <w:sz w:val="24"/>
                <w:szCs w:val="24"/>
                <w:lang w:val="en-GB"/>
              </w:rPr>
              <w:t>Ever</w:t>
            </w:r>
            <w:r w:rsidR="00AF1A1E" w:rsidRPr="00D3030E">
              <w:rPr>
                <w:rFonts w:ascii="Montserrat" w:hAnsi="Montserrat"/>
                <w:sz w:val="24"/>
                <w:szCs w:val="24"/>
                <w:lang w:val="en-GB"/>
              </w:rPr>
              <w:t>y</w:t>
            </w:r>
            <w:r w:rsidRPr="00D3030E">
              <w:rPr>
                <w:rFonts w:ascii="Montserrat" w:hAnsi="Montserrat"/>
                <w:sz w:val="24"/>
                <w:szCs w:val="24"/>
                <w:lang w:val="en-GB"/>
              </w:rPr>
              <w:t>day</w:t>
            </w:r>
            <w:r w:rsidR="00E10A8C" w:rsidRPr="00D3030E">
              <w:rPr>
                <w:rFonts w:ascii="Montserrat" w:hAnsi="Montserrat"/>
                <w:sz w:val="24"/>
                <w:szCs w:val="24"/>
                <w:lang w:val="en-GB"/>
              </w:rPr>
              <w:t xml:space="preserve"> Skills in Maths</w:t>
            </w:r>
            <w:r w:rsidR="00D3030E" w:rsidRPr="00D3030E">
              <w:rPr>
                <w:rFonts w:ascii="Montserrat" w:hAnsi="Montserrat"/>
                <w:sz w:val="24"/>
                <w:szCs w:val="24"/>
                <w:lang w:val="en-GB"/>
              </w:rPr>
              <w:t xml:space="preserve"> (</w:t>
            </w:r>
            <w:r w:rsidR="00D3030E" w:rsidRPr="006A03EC">
              <w:rPr>
                <w:rFonts w:ascii="Montserrat" w:hAnsi="Montserrat"/>
                <w:sz w:val="24"/>
                <w:szCs w:val="24"/>
                <w:lang w:val="en-GB"/>
              </w:rPr>
              <w:t>bilingual)</w:t>
            </w:r>
            <w:r w:rsidR="00E10A8C" w:rsidRPr="006A03EC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="00E10A8C" w:rsidRPr="00D3030E">
              <w:rPr>
                <w:rFonts w:ascii="Montserrat" w:hAnsi="Montserrat"/>
                <w:sz w:val="24"/>
                <w:szCs w:val="24"/>
                <w:lang w:val="en-GB"/>
              </w:rPr>
              <w:t>and English</w:t>
            </w:r>
          </w:p>
        </w:tc>
        <w:tc>
          <w:tcPr>
            <w:tcW w:w="3118" w:type="dxa"/>
          </w:tcPr>
          <w:p w14:paraId="15F9008A" w14:textId="58CCA297" w:rsidR="0040797E" w:rsidRPr="0040797E" w:rsidRDefault="3C55E5C0" w:rsidP="5EFC5707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Wingdings" w:eastAsia="Wingdings" w:hAnsi="Wingdings" w:cs="Wingdings"/>
                <w:color w:val="7D55C7"/>
                <w:sz w:val="24"/>
                <w:szCs w:val="24"/>
                <w:lang w:val="en-GB"/>
              </w:rPr>
              <w:t>l</w:t>
            </w: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 xml:space="preserve"> </w:t>
            </w:r>
            <w:r w:rsidRPr="5EFC5707">
              <w:rPr>
                <w:rFonts w:ascii="Wingdings" w:eastAsia="Wingdings" w:hAnsi="Wingdings" w:cs="Wingdings"/>
                <w:color w:val="F26522"/>
                <w:sz w:val="24"/>
                <w:szCs w:val="24"/>
                <w:lang w:val="en-GB"/>
              </w:rPr>
              <w:t>l</w:t>
            </w:r>
          </w:p>
        </w:tc>
        <w:tc>
          <w:tcPr>
            <w:tcW w:w="2126" w:type="dxa"/>
          </w:tcPr>
          <w:p w14:paraId="0C96698E" w14:textId="6EFDBC31" w:rsidR="0040797E" w:rsidRPr="0040797E" w:rsidRDefault="30996A66" w:rsidP="0040797E">
            <w:pPr>
              <w:spacing w:line="360" w:lineRule="auto"/>
              <w:rPr>
                <w:rFonts w:ascii="Montserrat" w:hAnsi="Montserrat"/>
                <w:sz w:val="24"/>
                <w:szCs w:val="24"/>
                <w:lang w:val="en-GB"/>
              </w:rPr>
            </w:pPr>
            <w:r w:rsidRPr="5EFC5707">
              <w:rPr>
                <w:rFonts w:ascii="Montserrat" w:hAnsi="Montserrat"/>
                <w:sz w:val="24"/>
                <w:szCs w:val="24"/>
                <w:lang w:val="en-GB"/>
              </w:rPr>
              <w:t>Free</w:t>
            </w:r>
          </w:p>
        </w:tc>
      </w:tr>
    </w:tbl>
    <w:p w14:paraId="795B5A57" w14:textId="77777777" w:rsidR="0040797E" w:rsidRPr="0040797E" w:rsidRDefault="0040797E" w:rsidP="0040797E">
      <w:pPr>
        <w:spacing w:line="360" w:lineRule="auto"/>
        <w:rPr>
          <w:rFonts w:ascii="Montserrat" w:hAnsi="Montserrat"/>
          <w:sz w:val="24"/>
          <w:szCs w:val="24"/>
          <w:lang w:val="en-GB"/>
        </w:rPr>
      </w:pPr>
    </w:p>
    <w:sectPr w:rsidR="0040797E" w:rsidRPr="00407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3CBE"/>
    <w:multiLevelType w:val="multilevel"/>
    <w:tmpl w:val="26283230"/>
    <w:lvl w:ilvl="0">
      <w:start w:val="1"/>
      <w:numFmt w:val="decimal"/>
      <w:pStyle w:val="Pennawd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8D016B"/>
    <w:multiLevelType w:val="hybridMultilevel"/>
    <w:tmpl w:val="CF1AADCA"/>
    <w:lvl w:ilvl="0" w:tplc="FFB8007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C6"/>
    <w:rsid w:val="001E24D7"/>
    <w:rsid w:val="001F6551"/>
    <w:rsid w:val="002140C6"/>
    <w:rsid w:val="00270E08"/>
    <w:rsid w:val="00393BA7"/>
    <w:rsid w:val="003C22D9"/>
    <w:rsid w:val="00402ADC"/>
    <w:rsid w:val="0040797E"/>
    <w:rsid w:val="0054705C"/>
    <w:rsid w:val="00550D59"/>
    <w:rsid w:val="00583EC1"/>
    <w:rsid w:val="005C37AF"/>
    <w:rsid w:val="006A03EC"/>
    <w:rsid w:val="00AB6E06"/>
    <w:rsid w:val="00AF1A1E"/>
    <w:rsid w:val="00B01B58"/>
    <w:rsid w:val="00B01DCC"/>
    <w:rsid w:val="00B977A1"/>
    <w:rsid w:val="00BA79B1"/>
    <w:rsid w:val="00BE72C5"/>
    <w:rsid w:val="00D3030E"/>
    <w:rsid w:val="00D60D16"/>
    <w:rsid w:val="00E10A8C"/>
    <w:rsid w:val="00F233A0"/>
    <w:rsid w:val="0221B379"/>
    <w:rsid w:val="0E17FE55"/>
    <w:rsid w:val="14A307B3"/>
    <w:rsid w:val="16CA3C6B"/>
    <w:rsid w:val="17650E9D"/>
    <w:rsid w:val="1CA4439C"/>
    <w:rsid w:val="1E5E8DF6"/>
    <w:rsid w:val="25FCF5D0"/>
    <w:rsid w:val="30232EE2"/>
    <w:rsid w:val="30996A66"/>
    <w:rsid w:val="3885AC15"/>
    <w:rsid w:val="389349C8"/>
    <w:rsid w:val="3BED0CE0"/>
    <w:rsid w:val="3C55E5C0"/>
    <w:rsid w:val="3F19CB90"/>
    <w:rsid w:val="41CD6953"/>
    <w:rsid w:val="44BD181D"/>
    <w:rsid w:val="45050A15"/>
    <w:rsid w:val="4718FCA5"/>
    <w:rsid w:val="49E82278"/>
    <w:rsid w:val="5035C8A6"/>
    <w:rsid w:val="527A5FB4"/>
    <w:rsid w:val="53AB0CF5"/>
    <w:rsid w:val="54C3162C"/>
    <w:rsid w:val="5609F3CE"/>
    <w:rsid w:val="593BB978"/>
    <w:rsid w:val="5E26ECC7"/>
    <w:rsid w:val="5EFC5707"/>
    <w:rsid w:val="6148225C"/>
    <w:rsid w:val="63B7B576"/>
    <w:rsid w:val="6923EAED"/>
    <w:rsid w:val="6BF66AE4"/>
    <w:rsid w:val="6EADD0BB"/>
    <w:rsid w:val="716805E8"/>
    <w:rsid w:val="78A82240"/>
    <w:rsid w:val="797237F2"/>
    <w:rsid w:val="7B384D0C"/>
    <w:rsid w:val="7C2B1CCD"/>
    <w:rsid w:val="7CD41D6D"/>
    <w:rsid w:val="7D7B9363"/>
    <w:rsid w:val="7DF450ED"/>
    <w:rsid w:val="7E6F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56BF"/>
  <w15:chartTrackingRefBased/>
  <w15:docId w15:val="{F44DAB2C-1AE1-466C-A1D2-7DAFADC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D7"/>
    <w:rPr>
      <w:lang w:val="cy-GB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5C37AF"/>
    <w:pPr>
      <w:keepNext/>
      <w:keepLines/>
      <w:numPr>
        <w:numId w:val="2"/>
      </w:numPr>
      <w:spacing w:before="160" w:after="120"/>
      <w:ind w:hanging="360"/>
      <w:outlineLvl w:val="1"/>
    </w:pPr>
    <w:rPr>
      <w:rFonts w:ascii="Arial" w:eastAsiaTheme="majorEastAsia" w:hAnsi="Arial" w:cstheme="majorBidi"/>
      <w:b/>
      <w:color w:val="1E4B9B"/>
      <w:sz w:val="32"/>
      <w:szCs w:val="26"/>
    </w:rPr>
  </w:style>
  <w:style w:type="character" w:default="1" w:styleId="FfontParagraffDdiofyn">
    <w:name w:val="Default Paragraph Font"/>
    <w:uiPriority w:val="1"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5C37AF"/>
    <w:rPr>
      <w:rFonts w:ascii="Arial" w:eastAsiaTheme="majorEastAsia" w:hAnsi="Arial" w:cstheme="majorBidi"/>
      <w:b/>
      <w:color w:val="1E4B9B"/>
      <w:sz w:val="32"/>
      <w:szCs w:val="26"/>
      <w:lang w:val="cy-GB"/>
    </w:rPr>
  </w:style>
  <w:style w:type="table" w:styleId="GridTabl">
    <w:name w:val="Table Grid"/>
    <w:basedOn w:val="TablNormal"/>
    <w:uiPriority w:val="39"/>
    <w:rsid w:val="0040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0797E"/>
    <w:pPr>
      <w:ind w:left="720"/>
      <w:contextualSpacing/>
    </w:pPr>
  </w:style>
  <w:style w:type="character" w:styleId="CyfeirnodSylw">
    <w:name w:val="annotation reference"/>
    <w:basedOn w:val="FfontParagraffDdiofyn"/>
    <w:uiPriority w:val="99"/>
    <w:semiHidden/>
    <w:unhideWhenUsed/>
    <w:rsid w:val="0054705C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4705C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4705C"/>
    <w:rPr>
      <w:sz w:val="20"/>
      <w:szCs w:val="20"/>
      <w:lang w:val="cy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4705C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4705C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512556C96E449AFD913E8C6B02AC" ma:contentTypeVersion="12" ma:contentTypeDescription="Create a new document." ma:contentTypeScope="" ma:versionID="4a738b34934d984e99a15315b53ec912">
  <xsd:schema xmlns:xsd="http://www.w3.org/2001/XMLSchema" xmlns:xs="http://www.w3.org/2001/XMLSchema" xmlns:p="http://schemas.microsoft.com/office/2006/metadata/properties" xmlns:ns3="e9085ae6-c880-4a4e-8aa1-2556f7030f64" xmlns:ns4="b31f9764-c6e2-4c93-bf64-45974892cd00" targetNamespace="http://schemas.microsoft.com/office/2006/metadata/properties" ma:root="true" ma:fieldsID="8c2fb51e08e3f1d3b9a892f1d8487d5b" ns3:_="" ns4:_="">
    <xsd:import namespace="e9085ae6-c880-4a4e-8aa1-2556f7030f64"/>
    <xsd:import namespace="b31f9764-c6e2-4c93-bf64-45974892c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5ae6-c880-4a4e-8aa1-2556f7030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f9764-c6e2-4c93-bf64-45974892c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06B27-7E35-4FED-B81D-35A2DA5F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85ae6-c880-4a4e-8aa1-2556f7030f64"/>
    <ds:schemaRef ds:uri="b31f9764-c6e2-4c93-bf64-45974892c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85173-4E86-4A22-A9D8-AF9390C94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F2E97-A9DA-40A1-AF3F-E4F543D6BA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1f9764-c6e2-4c93-bf64-45974892cd00"/>
    <ds:schemaRef ds:uri="e9085ae6-c880-4a4e-8aa1-2556f7030f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Rhodri.Davies</dc:creator>
  <cp:keywords/>
  <dc:description/>
  <cp:lastModifiedBy>Rhodri.Davies</cp:lastModifiedBy>
  <cp:revision>4</cp:revision>
  <dcterms:created xsi:type="dcterms:W3CDTF">2021-08-12T14:07:00Z</dcterms:created>
  <dcterms:modified xsi:type="dcterms:W3CDTF">2021-08-17T16:59:00Z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0x0101005A08512556C96E449AFD913E8C6B02AC</vt:lpwstr>
  </property>
</Properties>
</file>